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宋体" w:hAnsi="宋体" w:cs="宋体"/>
          <w:sz w:val="28"/>
          <w:szCs w:val="28"/>
        </w:rPr>
      </w:pPr>
      <w:bookmarkStart w:id="0" w:name="_Toc1725"/>
      <w:bookmarkStart w:id="1" w:name="_Toc7899"/>
      <w:bookmarkStart w:id="2" w:name="_Toc31593"/>
      <w:r>
        <w:rPr>
          <w:rFonts w:hint="eastAsia" w:ascii="宋体" w:hAnsi="宋体" w:cs="宋体"/>
          <w:sz w:val="28"/>
          <w:szCs w:val="28"/>
        </w:rPr>
        <w:t>附件1</w:t>
      </w:r>
      <w:bookmarkEnd w:id="0"/>
      <w:bookmarkEnd w:id="1"/>
      <w:bookmarkEnd w:id="2"/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52"/>
          <w:szCs w:val="52"/>
        </w:rPr>
      </w:pPr>
      <w:bookmarkStart w:id="3" w:name="_Toc14996"/>
      <w:bookmarkStart w:id="4" w:name="_Toc12915"/>
      <w:r>
        <w:rPr>
          <w:rFonts w:hint="eastAsia" w:ascii="黑体" w:hAnsi="黑体" w:eastAsia="黑体" w:cs="黑体"/>
          <w:sz w:val="52"/>
          <w:szCs w:val="52"/>
        </w:rPr>
        <w:t>教学归档材料质量评价要</w:t>
      </w:r>
      <w:bookmarkEnd w:id="3"/>
      <w:bookmarkEnd w:id="4"/>
      <w:r>
        <w:rPr>
          <w:rFonts w:hint="eastAsia" w:ascii="黑体" w:hAnsi="黑体" w:eastAsia="黑体" w:cs="黑体"/>
          <w:sz w:val="52"/>
          <w:szCs w:val="52"/>
        </w:rPr>
        <w:t>素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教务处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2023年</w:t>
      </w:r>
      <w:r>
        <w:rPr>
          <w:rFonts w:ascii="宋体" w:hAnsi="宋体" w:cs="宋体"/>
          <w:b/>
          <w:sz w:val="28"/>
          <w:szCs w:val="28"/>
        </w:rPr>
        <w:t>7</w:t>
      </w:r>
      <w:r>
        <w:rPr>
          <w:rFonts w:hint="eastAsia" w:ascii="宋体" w:hAnsi="宋体" w:cs="宋体"/>
          <w:b/>
          <w:sz w:val="28"/>
          <w:szCs w:val="28"/>
        </w:rPr>
        <w:t>月</w:t>
      </w:r>
    </w:p>
    <w:p>
      <w:pPr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目录</w:t>
      </w:r>
    </w:p>
    <w:p>
      <w:pPr>
        <w:pStyle w:val="8"/>
        <w:tabs>
          <w:tab w:val="right" w:leader="dot" w:pos="8312"/>
        </w:tabs>
        <w:rPr>
          <w:rFonts w:ascii="宋体" w:hAnsi="宋体" w:cs="宋体"/>
          <w:b/>
          <w:sz w:val="24"/>
          <w:szCs w:val="24"/>
        </w:rPr>
      </w:pPr>
    </w:p>
    <w:p>
      <w:pPr>
        <w:pStyle w:val="8"/>
        <w:tabs>
          <w:tab w:val="right" w:leader="dot" w:pos="8312"/>
        </w:tabs>
      </w:pPr>
      <w:r>
        <w:rPr>
          <w:rFonts w:hint="eastAsia" w:ascii="宋体" w:hAnsi="宋体" w:cs="宋体"/>
          <w:b/>
          <w:sz w:val="32"/>
          <w:szCs w:val="32"/>
        </w:rPr>
        <w:fldChar w:fldCharType="begin"/>
      </w:r>
      <w:r>
        <w:rPr>
          <w:rFonts w:hint="eastAsia" w:ascii="宋体" w:hAnsi="宋体" w:cs="宋体"/>
          <w:b/>
          <w:sz w:val="32"/>
          <w:szCs w:val="32"/>
        </w:rPr>
        <w:instrText xml:space="preserve">TOC \o "1-2" \h \u </w:instrText>
      </w:r>
      <w:r>
        <w:rPr>
          <w:rFonts w:hint="eastAsia" w:ascii="宋体" w:hAnsi="宋体" w:cs="宋体"/>
          <w:b/>
          <w:sz w:val="32"/>
          <w:szCs w:val="32"/>
        </w:rPr>
        <w:fldChar w:fldCharType="separate"/>
      </w:r>
      <w:r>
        <w:fldChar w:fldCharType="begin"/>
      </w:r>
      <w:r>
        <w:instrText xml:space="preserve"> HYPERLINK \l "_Toc17133" </w:instrText>
      </w:r>
      <w:r>
        <w:fldChar w:fldCharType="separate"/>
      </w:r>
      <w:r>
        <w:rPr>
          <w:rFonts w:hint="eastAsia"/>
        </w:rPr>
        <w:t>理论课课程材料质量评价要素</w:t>
      </w:r>
      <w:r>
        <w:tab/>
      </w:r>
      <w:r>
        <w:fldChar w:fldCharType="begin"/>
      </w:r>
      <w:r>
        <w:instrText xml:space="preserve"> PAGEREF _Toc17133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312"/>
        </w:tabs>
      </w:pPr>
      <w:r>
        <w:fldChar w:fldCharType="begin"/>
      </w:r>
      <w:r>
        <w:instrText xml:space="preserve"> HYPERLINK \l "_Toc5162" </w:instrText>
      </w:r>
      <w:r>
        <w:fldChar w:fldCharType="separate"/>
      </w:r>
      <w:r>
        <w:rPr>
          <w:rFonts w:hint="eastAsia"/>
        </w:rPr>
        <w:t>一、材料规范</w:t>
      </w:r>
      <w:r>
        <w:tab/>
      </w:r>
      <w:r>
        <w:fldChar w:fldCharType="begin"/>
      </w:r>
      <w:r>
        <w:instrText xml:space="preserve"> PAGEREF _Toc5162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312"/>
        </w:tabs>
      </w:pPr>
      <w:r>
        <w:fldChar w:fldCharType="begin"/>
      </w:r>
      <w:r>
        <w:instrText xml:space="preserve"> HYPERLINK \l "_Toc12952" </w:instrText>
      </w:r>
      <w:r>
        <w:fldChar w:fldCharType="separate"/>
      </w:r>
      <w:r>
        <w:rPr>
          <w:rFonts w:hint="eastAsia"/>
        </w:rPr>
        <w:t>二、</w:t>
      </w:r>
      <w:r>
        <w:t>试卷</w:t>
      </w:r>
      <w:r>
        <w:rPr>
          <w:rFonts w:hint="eastAsia"/>
        </w:rPr>
        <w:t>质量</w:t>
      </w:r>
      <w:r>
        <w:tab/>
      </w:r>
      <w:r>
        <w:fldChar w:fldCharType="begin"/>
      </w:r>
      <w:r>
        <w:instrText xml:space="preserve"> PAGEREF _Toc12952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312"/>
        </w:tabs>
      </w:pPr>
      <w:r>
        <w:fldChar w:fldCharType="begin"/>
      </w:r>
      <w:r>
        <w:instrText xml:space="preserve"> HYPERLINK \l "_Toc28561" </w:instrText>
      </w:r>
      <w:r>
        <w:fldChar w:fldCharType="separate"/>
      </w:r>
      <w:r>
        <w:rPr>
          <w:rFonts w:hint="eastAsia"/>
        </w:rPr>
        <w:t>三、试卷批阅</w:t>
      </w:r>
      <w:r>
        <w:tab/>
      </w:r>
      <w:r>
        <w:fldChar w:fldCharType="begin"/>
      </w:r>
      <w:r>
        <w:instrText xml:space="preserve"> PAGEREF _Toc28561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312"/>
        </w:tabs>
      </w:pPr>
      <w:r>
        <w:fldChar w:fldCharType="begin"/>
      </w:r>
      <w:r>
        <w:instrText xml:space="preserve"> HYPERLINK \l "_Toc17353" </w:instrText>
      </w:r>
      <w:r>
        <w:fldChar w:fldCharType="separate"/>
      </w:r>
      <w:r>
        <w:rPr>
          <w:rFonts w:hint="eastAsia"/>
        </w:rPr>
        <w:t>四、试卷分析</w:t>
      </w:r>
      <w:r>
        <w:tab/>
      </w:r>
      <w:r>
        <w:fldChar w:fldCharType="begin"/>
      </w:r>
      <w:r>
        <w:instrText xml:space="preserve"> PAGEREF _Toc17353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312"/>
        </w:tabs>
      </w:pPr>
      <w:r>
        <w:fldChar w:fldCharType="begin"/>
      </w:r>
      <w:r>
        <w:instrText xml:space="preserve"> HYPERLINK \l "_Toc27110" </w:instrText>
      </w:r>
      <w:r>
        <w:fldChar w:fldCharType="separate"/>
      </w:r>
      <w:r>
        <w:rPr>
          <w:rFonts w:hint="eastAsia"/>
        </w:rPr>
        <w:t>五、成绩评定</w:t>
      </w:r>
      <w:r>
        <w:tab/>
      </w:r>
      <w:r>
        <w:fldChar w:fldCharType="begin"/>
      </w:r>
      <w:r>
        <w:instrText xml:space="preserve"> PAGEREF _Toc27110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8312"/>
        </w:tabs>
      </w:pPr>
      <w:r>
        <w:fldChar w:fldCharType="begin"/>
      </w:r>
      <w:r>
        <w:instrText xml:space="preserve"> HYPERLINK \l "_Toc685" </w:instrText>
      </w:r>
      <w:r>
        <w:fldChar w:fldCharType="separate"/>
      </w:r>
      <w:r>
        <w:rPr>
          <w:rFonts w:hint="eastAsia"/>
        </w:rPr>
        <w:t>实验、课程设计、实习类课程材料质量评价要素</w:t>
      </w:r>
      <w:r>
        <w:tab/>
      </w:r>
      <w:r>
        <w:fldChar w:fldCharType="begin"/>
      </w:r>
      <w:r>
        <w:instrText xml:space="preserve"> PAGEREF _Toc685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312"/>
        </w:tabs>
      </w:pPr>
      <w:r>
        <w:fldChar w:fldCharType="begin"/>
      </w:r>
      <w:r>
        <w:instrText xml:space="preserve"> HYPERLINK \l "_Toc31920" </w:instrText>
      </w:r>
      <w:r>
        <w:fldChar w:fldCharType="separate"/>
      </w:r>
      <w:r>
        <w:rPr>
          <w:rFonts w:hint="eastAsia"/>
        </w:rPr>
        <w:t>一、材料规范</w:t>
      </w:r>
      <w:r>
        <w:tab/>
      </w:r>
      <w:r>
        <w:fldChar w:fldCharType="begin"/>
      </w:r>
      <w:r>
        <w:instrText xml:space="preserve"> PAGEREF _Toc31920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312"/>
        </w:tabs>
      </w:pPr>
      <w:r>
        <w:fldChar w:fldCharType="begin"/>
      </w:r>
      <w:r>
        <w:instrText xml:space="preserve"> HYPERLINK \l "_Toc20627" </w:instrText>
      </w:r>
      <w:r>
        <w:fldChar w:fldCharType="separate"/>
      </w:r>
      <w:r>
        <w:rPr>
          <w:rFonts w:hint="eastAsia"/>
        </w:rPr>
        <w:t>二、实验项目或课题选择</w:t>
      </w:r>
      <w:r>
        <w:tab/>
      </w:r>
      <w:r>
        <w:fldChar w:fldCharType="begin"/>
      </w:r>
      <w:r>
        <w:instrText xml:space="preserve"> PAGEREF _Toc20627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312"/>
        </w:tabs>
      </w:pPr>
      <w:r>
        <w:fldChar w:fldCharType="begin"/>
      </w:r>
      <w:r>
        <w:instrText xml:space="preserve"> HYPERLINK \l "_Toc8792" </w:instrText>
      </w:r>
      <w:r>
        <w:fldChar w:fldCharType="separate"/>
      </w:r>
      <w:r>
        <w:rPr>
          <w:rFonts w:hint="eastAsia"/>
        </w:rPr>
        <w:t>三、答辩记录</w:t>
      </w:r>
      <w:r>
        <w:tab/>
      </w:r>
      <w:r>
        <w:fldChar w:fldCharType="begin"/>
      </w:r>
      <w:r>
        <w:instrText xml:space="preserve"> PAGEREF _Toc8792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312"/>
        </w:tabs>
      </w:pPr>
      <w:r>
        <w:fldChar w:fldCharType="begin"/>
      </w:r>
      <w:r>
        <w:instrText xml:space="preserve"> HYPERLINK \l "_Toc19246" </w:instrText>
      </w:r>
      <w:r>
        <w:fldChar w:fldCharType="separate"/>
      </w:r>
      <w:r>
        <w:rPr>
          <w:rFonts w:hint="eastAsia"/>
        </w:rPr>
        <w:t>四、报告批阅</w:t>
      </w:r>
      <w:r>
        <w:tab/>
      </w:r>
      <w:r>
        <w:fldChar w:fldCharType="begin"/>
      </w:r>
      <w:r>
        <w:instrText xml:space="preserve"> PAGEREF _Toc19246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312"/>
        </w:tabs>
      </w:pPr>
      <w:r>
        <w:fldChar w:fldCharType="begin"/>
      </w:r>
      <w:r>
        <w:instrText xml:space="preserve"> HYPERLINK \l "_Toc8945" </w:instrText>
      </w:r>
      <w:r>
        <w:fldChar w:fldCharType="separate"/>
      </w:r>
      <w:r>
        <w:rPr>
          <w:rFonts w:hint="eastAsia"/>
        </w:rPr>
        <w:t>五、成绩评定</w:t>
      </w:r>
      <w:r>
        <w:tab/>
      </w:r>
      <w:r>
        <w:fldChar w:fldCharType="begin"/>
      </w:r>
      <w:r>
        <w:instrText xml:space="preserve"> PAGEREF _Toc8945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8312"/>
        </w:tabs>
      </w:pPr>
      <w:r>
        <w:fldChar w:fldCharType="begin"/>
      </w:r>
      <w:r>
        <w:instrText xml:space="preserve"> HYPERLINK \l "_Toc24261" </w:instrText>
      </w:r>
      <w:r>
        <w:fldChar w:fldCharType="separate"/>
      </w:r>
      <w:r>
        <w:rPr>
          <w:rFonts w:hint="eastAsia"/>
        </w:rPr>
        <w:t>毕业设计（论文）材料质量评价要素</w:t>
      </w:r>
      <w:r>
        <w:tab/>
      </w:r>
      <w:r>
        <w:fldChar w:fldCharType="begin"/>
      </w:r>
      <w:r>
        <w:instrText xml:space="preserve"> PAGEREF _Toc24261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312"/>
        </w:tabs>
      </w:pPr>
      <w:r>
        <w:fldChar w:fldCharType="begin"/>
      </w:r>
      <w:r>
        <w:instrText xml:space="preserve"> HYPERLINK \l "_Toc29726" </w:instrText>
      </w:r>
      <w:r>
        <w:fldChar w:fldCharType="separate"/>
      </w:r>
      <w:r>
        <w:rPr>
          <w:rFonts w:hint="eastAsia"/>
        </w:rPr>
        <w:t>一、材料规范</w:t>
      </w:r>
      <w:r>
        <w:tab/>
      </w:r>
      <w:r>
        <w:fldChar w:fldCharType="begin"/>
      </w:r>
      <w:r>
        <w:instrText xml:space="preserve"> PAGEREF _Toc29726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312"/>
        </w:tabs>
      </w:pPr>
      <w:r>
        <w:fldChar w:fldCharType="begin"/>
      </w:r>
      <w:r>
        <w:instrText xml:space="preserve"> HYPERLINK \l "_Toc25352" </w:instrText>
      </w:r>
      <w:r>
        <w:fldChar w:fldCharType="separate"/>
      </w:r>
      <w:r>
        <w:rPr>
          <w:rFonts w:hint="eastAsia"/>
        </w:rPr>
        <w:t>二、课题质量</w:t>
      </w:r>
      <w:r>
        <w:tab/>
      </w:r>
      <w:r>
        <w:fldChar w:fldCharType="begin"/>
      </w:r>
      <w:r>
        <w:instrText xml:space="preserve"> PAGEREF _Toc25352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312"/>
        </w:tabs>
      </w:pPr>
      <w:r>
        <w:fldChar w:fldCharType="begin"/>
      </w:r>
      <w:r>
        <w:instrText xml:space="preserve"> HYPERLINK \l "_Toc11546" </w:instrText>
      </w:r>
      <w:r>
        <w:fldChar w:fldCharType="separate"/>
      </w:r>
      <w:r>
        <w:rPr>
          <w:rFonts w:hint="eastAsia"/>
        </w:rPr>
        <w:t>三、开题报告、中期检查报告</w:t>
      </w:r>
      <w:r>
        <w:tab/>
      </w:r>
      <w:r>
        <w:fldChar w:fldCharType="begin"/>
      </w:r>
      <w:r>
        <w:instrText xml:space="preserve"> PAGEREF _Toc11546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312"/>
        </w:tabs>
      </w:pPr>
      <w:r>
        <w:fldChar w:fldCharType="begin"/>
      </w:r>
      <w:r>
        <w:instrText xml:space="preserve"> HYPERLINK \l "_Toc24418" </w:instrText>
      </w:r>
      <w:r>
        <w:fldChar w:fldCharType="separate"/>
      </w:r>
      <w:r>
        <w:rPr>
          <w:rFonts w:hint="eastAsia"/>
        </w:rPr>
        <w:t>五、毕业设计（论文）</w:t>
      </w:r>
      <w:r>
        <w:tab/>
      </w:r>
      <w:r>
        <w:fldChar w:fldCharType="begin"/>
      </w:r>
      <w:r>
        <w:instrText xml:space="preserve"> PAGEREF _Toc24418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312"/>
        </w:tabs>
      </w:pPr>
      <w:r>
        <w:fldChar w:fldCharType="begin"/>
      </w:r>
      <w:r>
        <w:instrText xml:space="preserve"> HYPERLINK \l "_Toc22590" </w:instrText>
      </w:r>
      <w:r>
        <w:fldChar w:fldCharType="separate"/>
      </w:r>
      <w:r>
        <w:rPr>
          <w:rFonts w:hint="eastAsia"/>
        </w:rPr>
        <w:t>六、成绩评定</w:t>
      </w:r>
      <w:r>
        <w:tab/>
      </w:r>
      <w:r>
        <w:fldChar w:fldCharType="begin"/>
      </w:r>
      <w:r>
        <w:instrText xml:space="preserve"> PAGEREF _Toc22590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312"/>
        </w:tabs>
      </w:pPr>
      <w:r>
        <w:fldChar w:fldCharType="begin"/>
      </w:r>
      <w:r>
        <w:instrText xml:space="preserve"> HYPERLINK \l "_Toc15102" </w:instrText>
      </w:r>
      <w:r>
        <w:fldChar w:fldCharType="separate"/>
      </w:r>
      <w:r>
        <w:rPr>
          <w:rFonts w:hint="eastAsia"/>
        </w:rPr>
        <w:t>七、指导记录</w:t>
      </w:r>
      <w:r>
        <w:tab/>
      </w:r>
      <w:r>
        <w:fldChar w:fldCharType="begin"/>
      </w:r>
      <w:r>
        <w:instrText xml:space="preserve"> PAGEREF _Toc15102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8312"/>
        </w:tabs>
      </w:pPr>
      <w:r>
        <w:fldChar w:fldCharType="begin"/>
      </w:r>
      <w:r>
        <w:instrText xml:space="preserve"> HYPERLINK \l "_Toc30068" </w:instrText>
      </w:r>
      <w:r>
        <w:fldChar w:fldCharType="separate"/>
      </w:r>
      <w:r>
        <w:rPr>
          <w:rFonts w:hint="eastAsia"/>
        </w:rPr>
        <w:t>教师教学工作记录册质量评价要素</w:t>
      </w:r>
      <w:r>
        <w:tab/>
      </w:r>
      <w:r>
        <w:fldChar w:fldCharType="begin"/>
      </w:r>
      <w:r>
        <w:instrText xml:space="preserve"> PAGEREF _Toc30068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312"/>
        </w:tabs>
      </w:pPr>
      <w:r>
        <w:fldChar w:fldCharType="begin"/>
      </w:r>
      <w:r>
        <w:instrText xml:space="preserve"> HYPERLINK \l "_Toc32221" </w:instrText>
      </w:r>
      <w:r>
        <w:fldChar w:fldCharType="separate"/>
      </w:r>
      <w:r>
        <w:rPr>
          <w:rFonts w:hint="eastAsia"/>
        </w:rPr>
        <w:t>一、材料规范</w:t>
      </w:r>
      <w:r>
        <w:tab/>
      </w:r>
      <w:r>
        <w:fldChar w:fldCharType="begin"/>
      </w:r>
      <w:r>
        <w:instrText xml:space="preserve"> PAGEREF _Toc32221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312"/>
        </w:tabs>
      </w:pPr>
      <w:r>
        <w:fldChar w:fldCharType="begin"/>
      </w:r>
      <w:r>
        <w:instrText xml:space="preserve"> HYPERLINK \l "_Toc23925" </w:instrText>
      </w:r>
      <w:r>
        <w:fldChar w:fldCharType="separate"/>
      </w:r>
      <w:r>
        <w:rPr>
          <w:rFonts w:hint="eastAsia"/>
        </w:rPr>
        <w:t>二、授课计划</w:t>
      </w:r>
      <w:r>
        <w:tab/>
      </w:r>
      <w:r>
        <w:fldChar w:fldCharType="begin"/>
      </w:r>
      <w:r>
        <w:instrText xml:space="preserve"> PAGEREF _Toc23925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312"/>
        </w:tabs>
      </w:pPr>
      <w:r>
        <w:fldChar w:fldCharType="begin"/>
      </w:r>
      <w:r>
        <w:instrText xml:space="preserve"> HYPERLINK \l "_Toc13226" </w:instrText>
      </w:r>
      <w:r>
        <w:fldChar w:fldCharType="separate"/>
      </w:r>
      <w:r>
        <w:rPr>
          <w:rFonts w:hint="eastAsia"/>
        </w:rPr>
        <w:t>三、课程达成评价报告</w:t>
      </w:r>
      <w:r>
        <w:tab/>
      </w:r>
      <w:r>
        <w:fldChar w:fldCharType="begin"/>
      </w:r>
      <w:r>
        <w:instrText xml:space="preserve"> PAGEREF _Toc13226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szCs w:val="32"/>
        </w:rPr>
        <w:fldChar w:fldCharType="end"/>
      </w: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</w:p>
    <w:p>
      <w:pPr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/>
          <w:b/>
          <w:sz w:val="32"/>
          <w:szCs w:val="32"/>
        </w:rPr>
        <w:br w:type="page"/>
      </w:r>
    </w:p>
    <w:p>
      <w:pPr>
        <w:pStyle w:val="2"/>
        <w:spacing w:before="312" w:after="312"/>
      </w:pPr>
      <w:bookmarkStart w:id="5" w:name="_Toc27972"/>
      <w:bookmarkStart w:id="6" w:name="_Toc19683"/>
      <w:bookmarkStart w:id="7" w:name="_Toc24983"/>
      <w:bookmarkStart w:id="8" w:name="_Toc25462"/>
      <w:bookmarkStart w:id="9" w:name="_Toc11167"/>
      <w:bookmarkStart w:id="10" w:name="_Toc17133"/>
      <w:bookmarkStart w:id="11" w:name="_Toc9634"/>
      <w:bookmarkStart w:id="12" w:name="_Toc16616"/>
    </w:p>
    <w:p>
      <w:pPr>
        <w:pStyle w:val="2"/>
        <w:spacing w:before="312" w:after="312"/>
        <w:rPr>
          <w:sz w:val="36"/>
          <w:szCs w:val="36"/>
        </w:rPr>
      </w:pPr>
      <w:r>
        <w:rPr>
          <w:rFonts w:hint="eastAsia"/>
          <w:sz w:val="36"/>
          <w:szCs w:val="36"/>
        </w:rPr>
        <w:t>理论课课程材料</w:t>
      </w:r>
      <w:bookmarkEnd w:id="5"/>
      <w:bookmarkEnd w:id="6"/>
      <w:bookmarkEnd w:id="7"/>
      <w:bookmarkEnd w:id="8"/>
      <w:bookmarkEnd w:id="9"/>
      <w:r>
        <w:rPr>
          <w:rFonts w:hint="eastAsia"/>
          <w:sz w:val="36"/>
          <w:szCs w:val="36"/>
        </w:rPr>
        <w:t>质量评价要素</w:t>
      </w:r>
      <w:bookmarkEnd w:id="10"/>
      <w:bookmarkEnd w:id="11"/>
      <w:bookmarkEnd w:id="12"/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期末考试试卷档案袋装订顺序：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bookmarkStart w:id="13" w:name="_Toc180"/>
      <w:bookmarkStart w:id="14" w:name="_Toc19056"/>
      <w:r>
        <w:rPr>
          <w:rFonts w:hint="eastAsia" w:ascii="宋体" w:hAnsi="宋体" w:cs="宋体"/>
          <w:sz w:val="24"/>
        </w:rPr>
        <w:t>1、空白试卷</w:t>
      </w:r>
      <w:bookmarkEnd w:id="13"/>
      <w:bookmarkEnd w:id="14"/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2、参考答案及评分标准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3、过程性考核材料（作业、实验、报告、在线学习等成绩登记表）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4、课程考核成绩登记表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5、试卷分析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6、学生答卷（按成绩单学生顺序整理）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0000FF"/>
          <w:sz w:val="24"/>
        </w:rPr>
      </w:pPr>
      <w:r>
        <w:rPr>
          <w:rFonts w:hint="eastAsia" w:ascii="宋体" w:hAnsi="宋体" w:cs="宋体"/>
          <w:b/>
          <w:bCs/>
          <w:color w:val="0000FF"/>
          <w:sz w:val="24"/>
        </w:rPr>
        <w:t>7、教学大纲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0000FF"/>
          <w:sz w:val="24"/>
        </w:rPr>
      </w:pPr>
      <w:r>
        <w:rPr>
          <w:rFonts w:ascii="宋体" w:hAnsi="宋体" w:cs="宋体"/>
          <w:b/>
          <w:bCs/>
          <w:color w:val="0000FF"/>
          <w:sz w:val="24"/>
        </w:rPr>
        <w:t>8</w:t>
      </w:r>
      <w:r>
        <w:rPr>
          <w:rFonts w:hint="eastAsia" w:ascii="宋体" w:hAnsi="宋体" w:cs="宋体"/>
          <w:b/>
          <w:bCs/>
          <w:color w:val="0000FF"/>
          <w:sz w:val="24"/>
        </w:rPr>
        <w:t>、课程达成评价报告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0000FF"/>
          <w:sz w:val="24"/>
          <w:lang w:eastAsia="zh-CN"/>
        </w:rPr>
      </w:pPr>
      <w:r>
        <w:rPr>
          <w:rFonts w:ascii="宋体" w:hAnsi="宋体" w:cs="宋体"/>
          <w:b/>
          <w:bCs/>
          <w:color w:val="0000FF"/>
          <w:sz w:val="24"/>
        </w:rPr>
        <w:t>9</w:t>
      </w:r>
      <w:r>
        <w:rPr>
          <w:rFonts w:hint="eastAsia" w:ascii="宋体" w:hAnsi="宋体" w:cs="宋体"/>
          <w:b/>
          <w:bCs/>
          <w:color w:val="0000FF"/>
          <w:sz w:val="24"/>
        </w:rPr>
        <w:t>、课程评价审核表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备注：1-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项与试卷封面装订在一起；学生试卷电子稿需刻光盘。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补（缓）考试卷档案袋装订顺序：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1、空白试卷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2、参考答案及评分标准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 xml:space="preserve">、课程考核成绩登记表 </w:t>
      </w:r>
      <w:r>
        <w:rPr>
          <w:rFonts w:ascii="宋体" w:hAnsi="宋体" w:cs="宋体"/>
          <w:sz w:val="24"/>
        </w:rPr>
        <w:t xml:space="preserve">  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、学生答卷（按成绩单学生顺序整理）</w:t>
      </w:r>
    </w:p>
    <w:p>
      <w:pPr>
        <w:adjustRightInd w:val="0"/>
        <w:snapToGrid w:val="0"/>
        <w:spacing w:line="360" w:lineRule="auto"/>
        <w:ind w:firstLine="562" w:firstLineChars="200"/>
        <w:jc w:val="left"/>
        <w:rPr>
          <w:rFonts w:ascii="黑体" w:hAnsi="黑体" w:eastAsia="黑体" w:cs="宋体"/>
          <w:b/>
          <w:bCs/>
          <w:color w:val="0000FF"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color w:val="0000FF"/>
          <w:sz w:val="28"/>
          <w:szCs w:val="28"/>
        </w:rPr>
        <w:t>大作业考试档案袋装订顺序：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0000FF"/>
          <w:sz w:val="24"/>
        </w:rPr>
      </w:pPr>
      <w:bookmarkStart w:id="15" w:name="_Toc30355"/>
      <w:bookmarkStart w:id="16" w:name="_Toc5162"/>
      <w:bookmarkStart w:id="17" w:name="_Toc22875"/>
      <w:bookmarkStart w:id="18" w:name="_Toc9495"/>
      <w:bookmarkStart w:id="19" w:name="_Toc18959"/>
      <w:r>
        <w:rPr>
          <w:rFonts w:hint="eastAsia" w:ascii="宋体" w:hAnsi="宋体" w:cs="宋体"/>
          <w:color w:val="0000FF"/>
          <w:sz w:val="24"/>
        </w:rPr>
        <w:t>1、大作业题目及评分标准 1份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0000FF"/>
          <w:sz w:val="24"/>
        </w:rPr>
      </w:pPr>
      <w:r>
        <w:rPr>
          <w:rFonts w:hint="eastAsia" w:ascii="宋体" w:hAnsi="宋体" w:cs="宋体"/>
          <w:color w:val="0000FF"/>
          <w:sz w:val="24"/>
        </w:rPr>
        <w:t>2、大作业评阅记录或评阅表（自制）（可附在大作业后，或单列）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0000FF"/>
          <w:sz w:val="24"/>
        </w:rPr>
      </w:pPr>
      <w:r>
        <w:rPr>
          <w:rFonts w:hint="eastAsia" w:ascii="宋体" w:hAnsi="宋体" w:cs="宋体"/>
          <w:color w:val="0000FF"/>
          <w:sz w:val="24"/>
        </w:rPr>
        <w:t>3、课程考核成绩登记表。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0000FF"/>
          <w:sz w:val="24"/>
        </w:rPr>
      </w:pPr>
      <w:r>
        <w:rPr>
          <w:rFonts w:hint="eastAsia" w:ascii="宋体" w:hAnsi="宋体" w:cs="宋体"/>
          <w:color w:val="0000FF"/>
          <w:sz w:val="24"/>
        </w:rPr>
        <w:t>4、过程性考核材料（作业、实验、报告、在线学习等成绩登记表）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0000FF"/>
          <w:sz w:val="24"/>
        </w:rPr>
      </w:pPr>
      <w:r>
        <w:rPr>
          <w:rFonts w:hint="eastAsia" w:ascii="宋体" w:hAnsi="宋体" w:cs="宋体"/>
          <w:color w:val="0000FF"/>
          <w:sz w:val="24"/>
        </w:rPr>
        <w:t>5、课程考核分析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0000FF"/>
          <w:sz w:val="24"/>
        </w:rPr>
      </w:pPr>
      <w:r>
        <w:rPr>
          <w:rFonts w:hint="eastAsia" w:ascii="宋体" w:hAnsi="宋体" w:cs="宋体"/>
          <w:color w:val="0000FF"/>
          <w:sz w:val="24"/>
        </w:rPr>
        <w:t>6、纸制大作业（或电子大作业）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0000FF"/>
          <w:sz w:val="24"/>
        </w:rPr>
      </w:pPr>
      <w:r>
        <w:rPr>
          <w:rFonts w:hint="eastAsia" w:ascii="宋体" w:hAnsi="宋体" w:cs="宋体"/>
          <w:b/>
          <w:bCs/>
          <w:color w:val="0000FF"/>
          <w:sz w:val="24"/>
        </w:rPr>
        <w:t>7、课程达成评价报告（自2022-2023-</w:t>
      </w:r>
      <w:r>
        <w:rPr>
          <w:rFonts w:ascii="宋体" w:hAnsi="宋体" w:cs="宋体"/>
          <w:b/>
          <w:bCs/>
          <w:color w:val="0000FF"/>
          <w:sz w:val="24"/>
        </w:rPr>
        <w:t>2</w:t>
      </w:r>
      <w:r>
        <w:rPr>
          <w:rFonts w:hint="eastAsia" w:ascii="宋体" w:hAnsi="宋体" w:cs="宋体"/>
          <w:b/>
          <w:bCs/>
          <w:color w:val="0000FF"/>
          <w:sz w:val="24"/>
        </w:rPr>
        <w:t>起）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0000FF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FF"/>
          <w:sz w:val="24"/>
        </w:rPr>
        <w:t>8、课程评价审核表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FF0000"/>
          <w:sz w:val="24"/>
        </w:rPr>
      </w:pPr>
    </w:p>
    <w:p>
      <w:pPr>
        <w:pStyle w:val="3"/>
        <w:spacing w:before="156" w:after="156"/>
        <w:ind w:firstLine="562"/>
      </w:pPr>
      <w:r>
        <w:rPr>
          <w:rFonts w:hint="eastAsia"/>
        </w:rPr>
        <w:t>一、材料规范</w:t>
      </w:r>
      <w:bookmarkEnd w:id="15"/>
      <w:bookmarkEnd w:id="16"/>
      <w:bookmarkEnd w:id="17"/>
      <w:bookmarkEnd w:id="18"/>
      <w:bookmarkEnd w:id="19"/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试卷袋内包含所有试卷归档材料，</w:t>
      </w:r>
      <w:r>
        <w:rPr>
          <w:rFonts w:hint="eastAsia" w:ascii="宋体" w:hAnsi="宋体" w:cs="宋体"/>
          <w:sz w:val="24"/>
          <w:u w:val="single"/>
        </w:rPr>
        <w:t>试卷袋信息与试卷一致</w:t>
      </w:r>
      <w:r>
        <w:rPr>
          <w:rFonts w:hint="eastAsia" w:ascii="宋体" w:hAnsi="宋体" w:cs="宋体"/>
          <w:sz w:val="24"/>
        </w:rPr>
        <w:t>，</w:t>
      </w:r>
      <w:r>
        <w:rPr>
          <w:rFonts w:hint="eastAsia" w:ascii="宋体" w:hAnsi="宋体" w:cs="宋体"/>
          <w:sz w:val="24"/>
          <w:u w:val="single"/>
        </w:rPr>
        <w:t>试卷份数与实际参加考试学生人数一致</w:t>
      </w:r>
      <w:r>
        <w:rPr>
          <w:rFonts w:hint="eastAsia" w:ascii="宋体" w:hAnsi="宋体" w:cs="宋体"/>
          <w:sz w:val="24"/>
        </w:rPr>
        <w:t>，</w:t>
      </w:r>
      <w:r>
        <w:rPr>
          <w:rFonts w:hint="eastAsia" w:ascii="宋体" w:hAnsi="宋体" w:cs="宋体"/>
          <w:sz w:val="24"/>
          <w:u w:val="single"/>
        </w:rPr>
        <w:t>试卷装订顺序与成绩登记表学生名单顺序一致</w:t>
      </w:r>
      <w:r>
        <w:rPr>
          <w:rFonts w:hint="eastAsia" w:ascii="宋体" w:hAnsi="宋体" w:cs="宋体"/>
          <w:sz w:val="24"/>
        </w:rPr>
        <w:t>。材料中有</w:t>
      </w:r>
      <w:r>
        <w:rPr>
          <w:rFonts w:hint="eastAsia" w:ascii="宋体" w:hAnsi="宋体" w:cs="宋体"/>
          <w:b/>
          <w:bCs/>
          <w:color w:val="FF0000"/>
          <w:sz w:val="24"/>
        </w:rPr>
        <w:t>意见、签字、盖章、日期</w:t>
      </w:r>
      <w:r>
        <w:rPr>
          <w:rFonts w:hint="eastAsia" w:ascii="宋体" w:hAnsi="宋体" w:cs="宋体"/>
          <w:sz w:val="24"/>
        </w:rPr>
        <w:t>等的均填写完整、无误。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成绩登记表整洁，无涂改，如有涂改，</w:t>
      </w:r>
      <w:r>
        <w:rPr>
          <w:rFonts w:hint="eastAsia" w:ascii="宋体" w:hAnsi="宋体" w:cs="宋体"/>
          <w:b/>
          <w:bCs/>
          <w:color w:val="FF0000"/>
          <w:sz w:val="24"/>
        </w:rPr>
        <w:t>涂改处有登分老师签名</w:t>
      </w:r>
      <w:r>
        <w:rPr>
          <w:rFonts w:hint="eastAsia" w:ascii="宋体" w:hAnsi="宋体" w:cs="宋体"/>
          <w:sz w:val="24"/>
        </w:rPr>
        <w:t>，不及格的用红笔登记。</w:t>
      </w:r>
    </w:p>
    <w:p>
      <w:pPr>
        <w:pStyle w:val="3"/>
        <w:spacing w:before="156" w:after="156"/>
        <w:ind w:firstLine="562"/>
      </w:pPr>
      <w:bookmarkStart w:id="20" w:name="_Toc11974"/>
      <w:bookmarkStart w:id="21" w:name="_Toc20997"/>
      <w:bookmarkStart w:id="22" w:name="_Toc20100"/>
      <w:bookmarkStart w:id="23" w:name="_Toc12952"/>
      <w:bookmarkStart w:id="24" w:name="_Toc15312"/>
      <w:r>
        <w:rPr>
          <w:rFonts w:hint="eastAsia"/>
        </w:rPr>
        <w:t>二、</w:t>
      </w:r>
      <w:r>
        <w:t>试卷</w:t>
      </w:r>
      <w:r>
        <w:rPr>
          <w:rFonts w:hint="eastAsia"/>
        </w:rPr>
        <w:t>质量</w:t>
      </w:r>
      <w:bookmarkEnd w:id="20"/>
      <w:bookmarkEnd w:id="21"/>
      <w:bookmarkEnd w:id="22"/>
      <w:bookmarkEnd w:id="23"/>
      <w:bookmarkEnd w:id="24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</w:t>
      </w:r>
      <w:r>
        <w:rPr>
          <w:rFonts w:ascii="宋体" w:hAnsi="宋体" w:cs="宋体"/>
          <w:sz w:val="24"/>
        </w:rPr>
        <w:t>试卷采用</w:t>
      </w:r>
      <w:r>
        <w:rPr>
          <w:rFonts w:hint="eastAsia" w:ascii="宋体" w:hAnsi="宋体" w:cs="宋体"/>
          <w:sz w:val="24"/>
        </w:rPr>
        <w:t>学校</w:t>
      </w:r>
      <w:r>
        <w:rPr>
          <w:rFonts w:ascii="宋体" w:hAnsi="宋体" w:cs="宋体"/>
          <w:sz w:val="24"/>
        </w:rPr>
        <w:t>课程考试标准试卷格式，试卷中课程名称与培养方案中课程名称一致；试题内容正确，</w:t>
      </w:r>
      <w:r>
        <w:rPr>
          <w:rFonts w:hint="eastAsia" w:ascii="宋体" w:hAnsi="宋体" w:cs="宋体"/>
          <w:sz w:val="24"/>
        </w:rPr>
        <w:t>无</w:t>
      </w:r>
      <w:r>
        <w:rPr>
          <w:rFonts w:ascii="宋体" w:hAnsi="宋体" w:cs="宋体"/>
          <w:sz w:val="24"/>
        </w:rPr>
        <w:t>命题错误或题干中文字、符号、图标不规范的情况，</w:t>
      </w:r>
      <w:r>
        <w:rPr>
          <w:rFonts w:ascii="宋体" w:hAnsi="宋体" w:cs="宋体"/>
          <w:b/>
          <w:bCs/>
          <w:color w:val="FF0000"/>
          <w:sz w:val="24"/>
        </w:rPr>
        <w:t>试卷总分为100分</w:t>
      </w:r>
      <w:r>
        <w:rPr>
          <w:rFonts w:ascii="宋体" w:hAnsi="宋体" w:cs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2、A、B</w:t>
      </w:r>
      <w:r>
        <w:rPr>
          <w:rFonts w:ascii="宋体" w:hAnsi="宋体" w:cs="宋体"/>
          <w:sz w:val="24"/>
        </w:rPr>
        <w:t>两份</w:t>
      </w:r>
      <w:r>
        <w:rPr>
          <w:rFonts w:hint="eastAsia" w:ascii="宋体" w:hAnsi="宋体" w:cs="宋体"/>
          <w:sz w:val="24"/>
        </w:rPr>
        <w:t>(或多份）</w:t>
      </w:r>
      <w:r>
        <w:rPr>
          <w:rFonts w:ascii="宋体" w:hAnsi="宋体" w:cs="宋体"/>
          <w:sz w:val="24"/>
        </w:rPr>
        <w:t>试卷的广度、深度和题量相当</w:t>
      </w:r>
      <w:r>
        <w:rPr>
          <w:rFonts w:hint="eastAsia" w:ascii="宋体" w:hAnsi="宋体" w:cs="宋体"/>
          <w:sz w:val="24"/>
        </w:rPr>
        <w:t>，</w:t>
      </w:r>
      <w:r>
        <w:rPr>
          <w:rFonts w:ascii="宋体" w:hAnsi="宋体" w:cs="宋体"/>
          <w:sz w:val="24"/>
        </w:rPr>
        <w:t>题目</w:t>
      </w:r>
      <w:r>
        <w:rPr>
          <w:rFonts w:hint="eastAsia" w:ascii="宋体" w:hAnsi="宋体" w:cs="宋体"/>
          <w:b/>
          <w:bCs/>
          <w:color w:val="FF0000"/>
          <w:sz w:val="24"/>
        </w:rPr>
        <w:t>重复</w:t>
      </w:r>
      <w:r>
        <w:rPr>
          <w:rFonts w:ascii="宋体" w:hAnsi="宋体" w:cs="宋体"/>
          <w:b/>
          <w:bCs/>
          <w:color w:val="FF0000"/>
          <w:sz w:val="24"/>
        </w:rPr>
        <w:t>率</w:t>
      </w:r>
      <w:r>
        <w:rPr>
          <w:rFonts w:hint="eastAsia" w:ascii="宋体" w:hAnsi="宋体" w:cs="宋体"/>
          <w:b/>
          <w:bCs/>
          <w:color w:val="FF0000"/>
          <w:sz w:val="24"/>
        </w:rPr>
        <w:t>为</w:t>
      </w:r>
      <w:r>
        <w:rPr>
          <w:rFonts w:ascii="宋体" w:hAnsi="宋体" w:cs="宋体"/>
          <w:b/>
          <w:bCs/>
          <w:color w:val="FF0000"/>
          <w:sz w:val="24"/>
        </w:rPr>
        <w:t>0%</w:t>
      </w:r>
      <w:r>
        <w:rPr>
          <w:rFonts w:ascii="宋体" w:hAnsi="宋体" w:cs="宋体"/>
          <w:sz w:val="24"/>
        </w:rPr>
        <w:t>，</w:t>
      </w:r>
      <w:r>
        <w:rPr>
          <w:rFonts w:ascii="宋体" w:hAnsi="宋体" w:cs="宋体"/>
          <w:b/>
          <w:bCs/>
          <w:color w:val="FF0000"/>
          <w:sz w:val="24"/>
        </w:rPr>
        <w:t>三年内重复率不超过</w:t>
      </w:r>
      <w:r>
        <w:rPr>
          <w:rFonts w:hint="eastAsia" w:ascii="宋体" w:hAnsi="宋体" w:cs="宋体"/>
          <w:b/>
          <w:bCs/>
          <w:color w:val="FF0000"/>
          <w:sz w:val="24"/>
        </w:rPr>
        <w:t>0</w:t>
      </w:r>
      <w:r>
        <w:rPr>
          <w:rFonts w:ascii="宋体" w:hAnsi="宋体" w:cs="宋体"/>
          <w:b/>
          <w:bCs/>
          <w:color w:val="FF0000"/>
          <w:sz w:val="24"/>
        </w:rPr>
        <w:t>%。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ascii="宋体" w:hAnsi="宋体" w:cs="宋体"/>
          <w:sz w:val="24"/>
        </w:rPr>
        <w:t>考试题型、题量和难度适宜，卷面成绩出现及格率</w:t>
      </w:r>
      <w:r>
        <w:rPr>
          <w:rFonts w:hint="eastAsia" w:ascii="宋体" w:hAnsi="宋体" w:cs="宋体"/>
          <w:sz w:val="24"/>
        </w:rPr>
        <w:t>或平均分过高或过低，在试卷</w:t>
      </w:r>
      <w:r>
        <w:rPr>
          <w:rFonts w:ascii="宋体" w:hAnsi="宋体" w:cs="宋体"/>
          <w:sz w:val="24"/>
        </w:rPr>
        <w:t>分析中</w:t>
      </w:r>
      <w:r>
        <w:rPr>
          <w:rFonts w:hint="eastAsia" w:ascii="宋体" w:hAnsi="宋体" w:cs="宋体"/>
          <w:sz w:val="24"/>
        </w:rPr>
        <w:t>应</w:t>
      </w:r>
      <w:r>
        <w:rPr>
          <w:rFonts w:ascii="宋体" w:hAnsi="宋体" w:cs="宋体"/>
          <w:sz w:val="24"/>
        </w:rPr>
        <w:t>有针对性的分析及改进方案。</w:t>
      </w:r>
    </w:p>
    <w:p>
      <w:pPr>
        <w:pStyle w:val="3"/>
        <w:spacing w:before="156" w:after="156"/>
        <w:ind w:firstLine="562"/>
      </w:pPr>
      <w:bookmarkStart w:id="25" w:name="_Toc28561"/>
      <w:bookmarkStart w:id="26" w:name="_Toc29928"/>
      <w:bookmarkStart w:id="27" w:name="_Toc571"/>
      <w:bookmarkStart w:id="28" w:name="_Toc26435"/>
      <w:bookmarkStart w:id="29" w:name="_Toc19924"/>
      <w:r>
        <w:rPr>
          <w:rFonts w:hint="eastAsia"/>
        </w:rPr>
        <w:t>三、试卷批阅</w:t>
      </w:r>
      <w:bookmarkEnd w:id="25"/>
      <w:bookmarkEnd w:id="26"/>
      <w:bookmarkEnd w:id="27"/>
      <w:bookmarkEnd w:id="28"/>
      <w:bookmarkEnd w:id="29"/>
    </w:p>
    <w:p>
      <w:pPr>
        <w:pStyle w:val="22"/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  <w:kern w:val="0"/>
          <w:sz w:val="24"/>
          <w:szCs w:val="24"/>
        </w:rPr>
      </w:pPr>
      <w:bookmarkStart w:id="30" w:name="_Toc22137"/>
      <w:bookmarkStart w:id="31" w:name="_Toc7280"/>
      <w:bookmarkStart w:id="32" w:name="_Toc11023"/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1、批阅流程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：统考课程原则上应采取流水作业的方式阅卷。</w:t>
      </w:r>
      <w:bookmarkEnd w:id="30"/>
      <w:bookmarkEnd w:id="31"/>
      <w:bookmarkEnd w:id="32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b/>
          <w:bCs/>
          <w:sz w:val="24"/>
        </w:rPr>
        <w:t>批阅用笔</w:t>
      </w:r>
      <w:r>
        <w:rPr>
          <w:rFonts w:hint="eastAsia" w:ascii="宋体" w:hAnsi="宋体" w:cs="宋体"/>
          <w:sz w:val="24"/>
        </w:rPr>
        <w:t>：阅卷一律用</w:t>
      </w:r>
      <w:r>
        <w:rPr>
          <w:rFonts w:hint="eastAsia" w:ascii="宋体" w:hAnsi="宋体" w:cs="宋体"/>
          <w:b/>
          <w:bCs/>
          <w:color w:val="FF0000"/>
          <w:sz w:val="24"/>
        </w:rPr>
        <w:t>红色水笔</w:t>
      </w:r>
      <w:r>
        <w:rPr>
          <w:rFonts w:hint="eastAsia" w:ascii="宋体" w:hAnsi="宋体" w:cs="宋体"/>
          <w:sz w:val="24"/>
        </w:rPr>
        <w:t>（或圆珠笔）批阅，批阅标记要清晰，字迹要端正，在涂改的地方应注上批阅者姓名（签全名或签章）。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b/>
          <w:bCs/>
          <w:sz w:val="24"/>
        </w:rPr>
        <w:t>批阅方式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b/>
          <w:bCs/>
          <w:color w:val="FF0000"/>
          <w:sz w:val="24"/>
        </w:rPr>
        <w:t>每一题都应有批阅标记</w:t>
      </w:r>
      <w:r>
        <w:rPr>
          <w:rFonts w:hint="eastAsia" w:ascii="宋体" w:hAnsi="宋体" w:cs="宋体"/>
          <w:sz w:val="24"/>
        </w:rPr>
        <w:t>，答题全部正确的题目用“√”表示。答题有部分错误的，在出错的内容下方划横线（—），答题回答不全的在题尾处划横线（—），答题全错的划叉（×）。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bookmarkStart w:id="33" w:name="_Toc28525"/>
      <w:bookmarkStart w:id="34" w:name="_Toc29385"/>
      <w:bookmarkStart w:id="35" w:name="_Toc11572"/>
      <w:r>
        <w:rPr>
          <w:rFonts w:hint="eastAsia" w:ascii="宋体" w:hAnsi="宋体" w:cs="宋体"/>
          <w:color w:val="000000"/>
          <w:kern w:val="0"/>
          <w:sz w:val="24"/>
          <w:szCs w:val="24"/>
        </w:rPr>
        <w:t>4、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批阅给分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：</w:t>
      </w:r>
      <w:bookmarkEnd w:id="33"/>
      <w:bookmarkEnd w:id="34"/>
      <w:bookmarkEnd w:id="35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（1）大题如有若干小题构成，则每题的小题头处应有小分，大题头处有总分，分数为应得分，不打扣分（或负分），应得分只写数值，数值前不加“+”； 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（2）选择题、填空题和判断题的小题头处不打小分，直接在大题头处打总分；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（3）每一大题的应得分填入试卷卷首的得分框中，然后填上评卷人姓名（签全名或签章，</w:t>
      </w:r>
      <w:r>
        <w:rPr>
          <w:rFonts w:hint="eastAsia" w:ascii="宋体" w:hAnsi="宋体" w:cs="宋体"/>
          <w:b/>
          <w:bCs/>
          <w:color w:val="FF0000"/>
          <w:sz w:val="24"/>
        </w:rPr>
        <w:t>如果不是流水作业只需在总分处签名或盖章1次</w:t>
      </w:r>
      <w:r>
        <w:rPr>
          <w:rFonts w:hint="eastAsia" w:ascii="宋体" w:hAnsi="宋体" w:cs="宋体"/>
          <w:sz w:val="24"/>
        </w:rPr>
        <w:t>）；各大题的得分按题号写入总得分框中，累加各题得分即为学生该学期该课程考核的卷面成绩。</w:t>
      </w:r>
    </w:p>
    <w:p>
      <w:pPr>
        <w:pStyle w:val="22"/>
        <w:adjustRightInd w:val="0"/>
        <w:snapToGrid w:val="0"/>
        <w:spacing w:line="360" w:lineRule="auto"/>
        <w:ind w:firstLine="482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bookmarkStart w:id="36" w:name="_Toc29576"/>
      <w:bookmarkStart w:id="37" w:name="_Toc17312"/>
      <w:bookmarkStart w:id="38" w:name="_Toc24019"/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5、批阅审核：</w:t>
      </w:r>
      <w:bookmarkEnd w:id="36"/>
      <w:bookmarkEnd w:id="37"/>
      <w:bookmarkEnd w:id="38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（1）评分时,要慎重准确,避免随意而导致涂改评分；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（2）总分累计要准确,应有其他教师复核并签名。</w:t>
      </w:r>
    </w:p>
    <w:p>
      <w:pPr>
        <w:pStyle w:val="3"/>
        <w:spacing w:before="156" w:after="156"/>
        <w:ind w:firstLine="562"/>
      </w:pPr>
      <w:bookmarkStart w:id="39" w:name="_Toc16965"/>
      <w:bookmarkStart w:id="40" w:name="_Toc21063"/>
      <w:bookmarkStart w:id="41" w:name="_Toc6596"/>
      <w:bookmarkStart w:id="42" w:name="_Toc18787"/>
      <w:bookmarkStart w:id="43" w:name="_Toc17353"/>
      <w:r>
        <w:rPr>
          <w:rFonts w:hint="eastAsia"/>
        </w:rPr>
        <w:t>四、试卷分析</w:t>
      </w:r>
      <w:bookmarkEnd w:id="39"/>
      <w:bookmarkEnd w:id="40"/>
      <w:bookmarkEnd w:id="41"/>
      <w:bookmarkEnd w:id="42"/>
      <w:bookmarkEnd w:id="43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一般情况下，学生的成绩应符合正态分布。如果学生成绩分布明显不符合正态分布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或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yellow"/>
        </w:rPr>
        <w:t>平均分小于60分或平均分大于85分</w:t>
      </w:r>
      <w:r>
        <w:rPr>
          <w:rFonts w:hint="eastAsia" w:ascii="宋体" w:hAnsi="宋体" w:cs="宋体"/>
          <w:sz w:val="24"/>
        </w:rPr>
        <w:t>，须在试卷分析中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yellow"/>
        </w:rPr>
        <w:t>写明原因及改进方案</w:t>
      </w:r>
      <w:r>
        <w:rPr>
          <w:rFonts w:hint="eastAsia" w:ascii="宋体" w:hAnsi="宋体" w:cs="宋体"/>
          <w:sz w:val="24"/>
        </w:rPr>
        <w:t>。方案应</w:t>
      </w:r>
      <w:r>
        <w:rPr>
          <w:rFonts w:hint="eastAsia" w:ascii="宋体" w:hAnsi="宋体" w:cs="宋体"/>
          <w:sz w:val="24"/>
          <w:szCs w:val="24"/>
        </w:rPr>
        <w:t>从教学方法、教学手段及改进举措等方面进行总结分析，不笼统的只给出学生学习不努力、学风有待改善等原因，应该点面结合。</w:t>
      </w:r>
    </w:p>
    <w:p>
      <w:pPr>
        <w:pStyle w:val="3"/>
        <w:spacing w:before="156" w:after="156"/>
        <w:ind w:firstLine="562"/>
      </w:pPr>
      <w:bookmarkStart w:id="44" w:name="_Toc28439"/>
      <w:bookmarkStart w:id="45" w:name="_Toc1143"/>
      <w:bookmarkStart w:id="46" w:name="_Toc27110"/>
      <w:bookmarkStart w:id="47" w:name="_Toc7881"/>
      <w:bookmarkStart w:id="48" w:name="_Toc15129"/>
      <w:r>
        <w:rPr>
          <w:rFonts w:hint="eastAsia"/>
        </w:rPr>
        <w:t>五、成绩评定</w:t>
      </w:r>
      <w:bookmarkEnd w:id="44"/>
      <w:bookmarkEnd w:id="45"/>
      <w:bookmarkEnd w:id="46"/>
      <w:bookmarkEnd w:id="47"/>
      <w:bookmarkEnd w:id="48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课程总评成绩要根据课程教学大纲进行评议。同一课程应执行同一课程成绩评定标准。</w:t>
      </w:r>
      <w:r>
        <w:rPr>
          <w:rFonts w:hint="eastAsia"/>
          <w:sz w:val="24"/>
          <w:szCs w:val="24"/>
        </w:rPr>
        <w:t>过程考核与结果考核结合，核分准确。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过程性考核成绩构成丰富（如包含课堂讨论、回答问题、小测验、作业、论文、实验报告、期中考试等多项内容），且来源明确，记录详实。避免学生过程性考核记录全部或绝大部分相同、来源单一、或者明显存在使用过程性考核成绩提高学生总评成绩的现象。</w:t>
      </w:r>
    </w:p>
    <w:p>
      <w:pPr>
        <w:rPr>
          <w:rFonts w:ascii="宋体" w:hAnsi="宋体" w:cs="宋体"/>
          <w:sz w:val="24"/>
          <w:szCs w:val="24"/>
        </w:rPr>
      </w:pP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br w:type="page"/>
      </w:r>
    </w:p>
    <w:p>
      <w:pPr>
        <w:pStyle w:val="2"/>
        <w:spacing w:before="312" w:after="312"/>
      </w:pPr>
      <w:bookmarkStart w:id="49" w:name="_Toc14003"/>
      <w:bookmarkStart w:id="50" w:name="_Toc1609"/>
      <w:bookmarkStart w:id="51" w:name="_Toc6969"/>
      <w:bookmarkStart w:id="52" w:name="_Toc27298"/>
      <w:bookmarkStart w:id="53" w:name="_Toc19334"/>
      <w:bookmarkStart w:id="54" w:name="_Toc28596"/>
      <w:bookmarkStart w:id="55" w:name="_Toc685"/>
      <w:bookmarkStart w:id="56" w:name="_Toc17666"/>
      <w:r>
        <w:rPr>
          <w:rFonts w:hint="eastAsia"/>
        </w:rPr>
        <w:t>实验、课程设计、实习类课程材料</w:t>
      </w:r>
      <w:bookmarkEnd w:id="49"/>
      <w:bookmarkEnd w:id="50"/>
      <w:bookmarkEnd w:id="51"/>
      <w:bookmarkEnd w:id="52"/>
      <w:bookmarkEnd w:id="53"/>
      <w:r>
        <w:rPr>
          <w:rFonts w:hint="eastAsia"/>
        </w:rPr>
        <w:t>质量评价要素</w:t>
      </w:r>
      <w:bookmarkEnd w:id="54"/>
      <w:bookmarkEnd w:id="55"/>
      <w:bookmarkEnd w:id="56"/>
    </w:p>
    <w:p>
      <w:pPr>
        <w:pStyle w:val="22"/>
        <w:adjustRightInd w:val="0"/>
        <w:snapToGrid w:val="0"/>
        <w:spacing w:line="360" w:lineRule="auto"/>
        <w:ind w:firstLine="482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单开实验课程材料</w:t>
      </w:r>
      <w:r>
        <w:rPr>
          <w:rFonts w:hint="eastAsia" w:ascii="宋体" w:hAnsi="宋体" w:cs="宋体"/>
          <w:b/>
          <w:bCs/>
          <w:sz w:val="24"/>
        </w:rPr>
        <w:t>装订顺序：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1、实验项目信息统计表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2、过程性考核材料（实验操作、实验表现等成绩登记表）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3、考核成绩登记表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4、实验指导书（若是公开出版教材，只需提供详细的教材信息）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5、实验报告（按成绩单学生顺序整理）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sz w:val="24"/>
          <w:szCs w:val="24"/>
          <w:highlight w:val="yellow"/>
        </w:rPr>
        <w:t>备注：实验报告电子稿需刻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yellow"/>
        </w:rPr>
        <w:t>光</w:t>
      </w:r>
      <w:r>
        <w:rPr>
          <w:rFonts w:hint="eastAsia" w:ascii="宋体" w:hAnsi="宋体" w:cs="宋体"/>
          <w:color w:val="FF0000"/>
          <w:sz w:val="24"/>
          <w:szCs w:val="24"/>
          <w:highlight w:val="yellow"/>
        </w:rPr>
        <w:t>盘。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综合实验、工程训练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课程资料</w:t>
      </w:r>
      <w:r>
        <w:rPr>
          <w:rFonts w:hint="eastAsia" w:ascii="宋体" w:hAnsi="宋体" w:cs="宋体"/>
          <w:b/>
          <w:bCs/>
          <w:sz w:val="24"/>
        </w:rPr>
        <w:t>装订顺序：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1、综合实验教学任务安排表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2、过程性考核材料（实验操作、实验答辩等成绩登记表）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3、考核成绩登记表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4、综合实验指导书（若是公开出版教材，只需提供详细的教材信息）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5、综合实验报告（按成绩单学生顺序整理）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0000FF"/>
          <w:sz w:val="24"/>
        </w:rPr>
      </w:pPr>
      <w:r>
        <w:rPr>
          <w:rFonts w:hint="eastAsia" w:ascii="宋体" w:hAnsi="宋体" w:cs="宋体"/>
          <w:b/>
          <w:bCs/>
          <w:color w:val="0000FF"/>
          <w:sz w:val="24"/>
        </w:rPr>
        <w:t>6、课程达成评价报告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FF0000"/>
          <w:sz w:val="24"/>
        </w:rPr>
      </w:pPr>
      <w:r>
        <w:rPr>
          <w:rFonts w:hint="eastAsia" w:ascii="宋体" w:hAnsi="宋体" w:cs="宋体"/>
          <w:b/>
          <w:bCs/>
          <w:color w:val="0000FF"/>
          <w:sz w:val="24"/>
        </w:rPr>
        <w:t>7、课程评价审核表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备注：综合实验报告电子稿需刻光盘。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课程设计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课程资料</w:t>
      </w:r>
      <w:r>
        <w:rPr>
          <w:rFonts w:hint="eastAsia" w:ascii="宋体" w:hAnsi="宋体" w:cs="宋体"/>
          <w:b/>
          <w:bCs/>
          <w:sz w:val="24"/>
        </w:rPr>
        <w:t>装订顺序：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1、任务书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2、课程设计教学任务安排表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3、课程设计指导书（若是公开出版教材，只需提供详细的教材信息）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4、过程性考核材料（平时表现、课设答辩等成绩登记表）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5、考核成绩登记表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6、答辩记录表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7、课程设计报告（按成绩单学生顺序整理）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0000FF"/>
          <w:sz w:val="24"/>
        </w:rPr>
      </w:pPr>
      <w:r>
        <w:rPr>
          <w:rFonts w:hint="eastAsia" w:ascii="宋体" w:hAnsi="宋体" w:cs="宋体"/>
          <w:b/>
          <w:bCs/>
          <w:color w:val="0000FF"/>
          <w:sz w:val="24"/>
        </w:rPr>
        <w:t>8、课程达成评价报告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0000FF"/>
          <w:sz w:val="24"/>
        </w:rPr>
      </w:pPr>
      <w:r>
        <w:rPr>
          <w:rFonts w:hint="eastAsia" w:ascii="宋体" w:hAnsi="宋体" w:cs="宋体"/>
          <w:b/>
          <w:bCs/>
          <w:color w:val="0000FF"/>
          <w:sz w:val="24"/>
        </w:rPr>
        <w:t>9、课程评价审核表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备注：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课程设计报告</w:t>
      </w:r>
      <w:r>
        <w:rPr>
          <w:rFonts w:hint="eastAsia" w:ascii="宋体" w:hAnsi="宋体" w:cs="宋体"/>
          <w:sz w:val="24"/>
          <w:szCs w:val="24"/>
        </w:rPr>
        <w:t>电子稿需刻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光</w:t>
      </w:r>
      <w:r>
        <w:rPr>
          <w:rFonts w:hint="eastAsia" w:ascii="宋体" w:hAnsi="宋体" w:cs="宋体"/>
          <w:sz w:val="24"/>
          <w:szCs w:val="24"/>
        </w:rPr>
        <w:t>盘。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专业认识实习、生产实习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课程资料</w:t>
      </w:r>
      <w:r>
        <w:rPr>
          <w:rFonts w:hint="eastAsia" w:ascii="宋体" w:hAnsi="宋体" w:cs="宋体"/>
          <w:b/>
          <w:bCs/>
          <w:sz w:val="24"/>
        </w:rPr>
        <w:t>装订顺序：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1、实习教学任务安排表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2、过程性考核材料（实习日志、实习答辩等成绩登记表）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3、考核成绩登记表</w:t>
      </w:r>
      <w:r>
        <w:rPr>
          <w:rFonts w:hint="eastAsia" w:ascii="宋体" w:hAnsi="宋体" w:cs="宋体"/>
          <w:b/>
          <w:bCs/>
          <w:color w:val="0000FF"/>
          <w:kern w:val="0"/>
          <w:sz w:val="24"/>
          <w:szCs w:val="24"/>
        </w:rPr>
        <w:t>（认识实习，生产实习）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4、实习日志（按成绩单学生顺序整理）</w:t>
      </w:r>
      <w:r>
        <w:rPr>
          <w:rFonts w:hint="eastAsia" w:ascii="宋体" w:hAnsi="宋体" w:cs="宋体"/>
          <w:b/>
          <w:bCs/>
          <w:color w:val="0000FF"/>
          <w:kern w:val="0"/>
          <w:sz w:val="24"/>
          <w:szCs w:val="24"/>
        </w:rPr>
        <w:t>（生产实习）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5、实习报告（按成绩单学生顺序整理）</w:t>
      </w:r>
      <w:r>
        <w:rPr>
          <w:rFonts w:hint="eastAsia" w:ascii="宋体" w:hAnsi="宋体" w:cs="宋体"/>
          <w:b/>
          <w:bCs/>
          <w:color w:val="0000FF"/>
          <w:kern w:val="0"/>
          <w:sz w:val="24"/>
          <w:szCs w:val="24"/>
        </w:rPr>
        <w:t>（认识实习，生产实习）</w:t>
      </w:r>
    </w:p>
    <w:p>
      <w:pPr>
        <w:pStyle w:val="22"/>
        <w:adjustRightInd w:val="0"/>
        <w:snapToGrid w:val="0"/>
        <w:spacing w:line="360" w:lineRule="auto"/>
        <w:ind w:firstLine="482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6、实习评价表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（按成绩单学生顺序整理）</w:t>
      </w:r>
      <w:r>
        <w:rPr>
          <w:rFonts w:hint="eastAsia" w:ascii="宋体" w:hAnsi="宋体" w:cs="宋体"/>
          <w:color w:val="0000FF"/>
          <w:kern w:val="0"/>
          <w:sz w:val="24"/>
          <w:szCs w:val="24"/>
        </w:rPr>
        <w:t>（</w:t>
      </w:r>
      <w:r>
        <w:rPr>
          <w:rFonts w:hint="eastAsia" w:ascii="宋体" w:hAnsi="宋体" w:cs="宋体"/>
          <w:b/>
          <w:bCs/>
          <w:color w:val="0000FF"/>
          <w:kern w:val="0"/>
          <w:sz w:val="24"/>
          <w:szCs w:val="24"/>
        </w:rPr>
        <w:t>生产实习）</w:t>
      </w:r>
    </w:p>
    <w:p>
      <w:pPr>
        <w:pStyle w:val="22"/>
        <w:adjustRightInd w:val="0"/>
        <w:snapToGrid w:val="0"/>
        <w:spacing w:line="360" w:lineRule="auto"/>
        <w:ind w:firstLine="482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7、实习情况总结</w:t>
      </w:r>
      <w:r>
        <w:rPr>
          <w:rFonts w:hint="eastAsia" w:ascii="宋体" w:hAnsi="宋体" w:cs="宋体"/>
          <w:b/>
          <w:bCs/>
          <w:color w:val="0000FF"/>
          <w:kern w:val="0"/>
          <w:sz w:val="24"/>
          <w:szCs w:val="24"/>
        </w:rPr>
        <w:t>（认识实习，生产实习）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0000FF"/>
          <w:sz w:val="24"/>
        </w:rPr>
      </w:pPr>
      <w:r>
        <w:rPr>
          <w:rFonts w:hint="eastAsia" w:ascii="宋体" w:hAnsi="宋体" w:cs="宋体"/>
          <w:b/>
          <w:bCs/>
          <w:color w:val="0000FF"/>
          <w:sz w:val="24"/>
        </w:rPr>
        <w:t>8、课程达成评价报告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FF"/>
          <w:sz w:val="24"/>
        </w:rPr>
        <w:t>9、课程评价审核表</w:t>
      </w:r>
      <w:bookmarkStart w:id="142" w:name="_GoBack"/>
      <w:bookmarkEnd w:id="142"/>
    </w:p>
    <w:p>
      <w:pPr>
        <w:pStyle w:val="3"/>
        <w:spacing w:before="156" w:after="156"/>
        <w:ind w:firstLine="562"/>
      </w:pPr>
      <w:bookmarkStart w:id="57" w:name="_Toc14940"/>
      <w:bookmarkStart w:id="58" w:name="_Toc31920"/>
      <w:bookmarkStart w:id="59" w:name="_Toc31820"/>
      <w:bookmarkStart w:id="60" w:name="_Toc1161"/>
      <w:bookmarkStart w:id="61" w:name="_Toc19247"/>
      <w:r>
        <w:rPr>
          <w:rFonts w:hint="eastAsia"/>
        </w:rPr>
        <w:t>一、材料规范</w:t>
      </w:r>
      <w:bookmarkEnd w:id="57"/>
      <w:bookmarkEnd w:id="58"/>
      <w:bookmarkEnd w:id="59"/>
      <w:bookmarkEnd w:id="60"/>
      <w:bookmarkEnd w:id="61"/>
    </w:p>
    <w:p>
      <w:pPr>
        <w:pStyle w:val="22"/>
        <w:adjustRightInd w:val="0"/>
        <w:snapToGrid w:val="0"/>
        <w:spacing w:line="360" w:lineRule="auto"/>
        <w:ind w:firstLine="48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材料齐全，装订顺序无误。报告顺序与成绩单学生名单顺序一致。相关文档中有意见、签字、盖章、日期等的均填写完整、无误。报告份数与实际上课学生人数一致。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成绩登记表整洁，无涂改，如有涂改，涂改处有登分老师签名，不及格的用红笔登记。</w:t>
      </w:r>
    </w:p>
    <w:p>
      <w:pPr>
        <w:pStyle w:val="3"/>
        <w:spacing w:before="156" w:after="156"/>
        <w:ind w:firstLine="562"/>
      </w:pPr>
      <w:bookmarkStart w:id="62" w:name="_Toc13227"/>
      <w:bookmarkStart w:id="63" w:name="_Toc16489"/>
      <w:bookmarkStart w:id="64" w:name="_Toc10763"/>
      <w:bookmarkStart w:id="65" w:name="_Toc16079"/>
      <w:bookmarkStart w:id="66" w:name="_Toc20627"/>
      <w:r>
        <w:rPr>
          <w:rFonts w:hint="eastAsia"/>
        </w:rPr>
        <w:t>二、实验项目或课题选择</w:t>
      </w:r>
      <w:bookmarkEnd w:id="62"/>
      <w:bookmarkEnd w:id="63"/>
      <w:bookmarkEnd w:id="64"/>
      <w:bookmarkEnd w:id="65"/>
      <w:bookmarkEnd w:id="66"/>
    </w:p>
    <w:p>
      <w:pPr>
        <w:adjustRightInd w:val="0"/>
        <w:snapToGrid w:val="0"/>
        <w:spacing w:line="360" w:lineRule="auto"/>
        <w:ind w:firstLine="480" w:firstLineChars="20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实验项目或课题符合教学大纲要求和学生实际情况，题目的难度和工作量适当。学生的分组方式及分组人数合理，可每小组一个题目，但每位学生的工作内容侧重点应不同，交叉工作不宜于过大。</w:t>
      </w:r>
    </w:p>
    <w:p>
      <w:pPr>
        <w:pStyle w:val="3"/>
        <w:spacing w:before="156" w:after="156"/>
        <w:ind w:firstLine="562"/>
      </w:pPr>
      <w:bookmarkStart w:id="67" w:name="_Toc12128"/>
      <w:bookmarkStart w:id="68" w:name="_Toc8792"/>
      <w:bookmarkStart w:id="69" w:name="_Toc17369"/>
      <w:bookmarkStart w:id="70" w:name="_Toc7924"/>
      <w:bookmarkStart w:id="71" w:name="_Toc16021"/>
      <w:r>
        <w:rPr>
          <w:rFonts w:hint="eastAsia"/>
        </w:rPr>
        <w:t>三、答辩记录</w:t>
      </w:r>
      <w:bookmarkEnd w:id="67"/>
      <w:bookmarkEnd w:id="68"/>
      <w:bookmarkEnd w:id="69"/>
      <w:bookmarkEnd w:id="70"/>
      <w:bookmarkEnd w:id="71"/>
    </w:p>
    <w:p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答辩记录用钢笔或签字笔书写，不得使用圆珠笔，可使用电脑整理打印。书面整齐、字迹清晰、简明扼要；内容完整，问题具有针对性。记录详略得当，只记问题，不记评价，答辩人的回答应详细记录。答辩记录不得由学生填写。</w:t>
      </w:r>
    </w:p>
    <w:p>
      <w:pPr>
        <w:pStyle w:val="3"/>
        <w:spacing w:before="156" w:after="156"/>
        <w:ind w:firstLine="562"/>
      </w:pPr>
      <w:bookmarkStart w:id="72" w:name="_Toc3065"/>
      <w:bookmarkStart w:id="73" w:name="_Toc8629"/>
      <w:bookmarkStart w:id="74" w:name="_Toc19246"/>
      <w:bookmarkStart w:id="75" w:name="_Toc12977"/>
      <w:bookmarkStart w:id="76" w:name="_Toc10480"/>
      <w:r>
        <w:rPr>
          <w:rFonts w:hint="eastAsia"/>
        </w:rPr>
        <w:t>四、报告批阅</w:t>
      </w:r>
      <w:bookmarkEnd w:id="72"/>
      <w:bookmarkEnd w:id="73"/>
      <w:bookmarkEnd w:id="74"/>
      <w:bookmarkEnd w:id="75"/>
      <w:bookmarkEnd w:id="76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报告批改认真、规范。</w:t>
      </w:r>
    </w:p>
    <w:p>
      <w:pPr>
        <w:pStyle w:val="3"/>
        <w:spacing w:before="156" w:after="156"/>
        <w:ind w:firstLine="562"/>
      </w:pPr>
      <w:bookmarkStart w:id="77" w:name="_Toc27455"/>
      <w:bookmarkStart w:id="78" w:name="_Toc5577"/>
      <w:bookmarkStart w:id="79" w:name="_Toc22542"/>
      <w:bookmarkStart w:id="80" w:name="_Toc23283"/>
      <w:bookmarkStart w:id="81" w:name="_Toc8945"/>
      <w:r>
        <w:rPr>
          <w:rFonts w:hint="eastAsia"/>
        </w:rPr>
        <w:t>五、成绩评定</w:t>
      </w:r>
      <w:bookmarkEnd w:id="77"/>
      <w:bookmarkEnd w:id="78"/>
      <w:bookmarkEnd w:id="79"/>
      <w:bookmarkEnd w:id="80"/>
      <w:bookmarkEnd w:id="81"/>
    </w:p>
    <w:p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课程考核成绩要根据课程教学大纲进行评议。同一课程应执行同一课程成绩评定标准。过程考核与结果考核结合，核分准确。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过程性考核成绩构成来源明确，记录详实。避免学生过程性考核记录全部或绝大部分相同、来源单一、或者明显存在使用过程性考核成绩提高学生总评成绩的现象。</w:t>
      </w:r>
    </w:p>
    <w:p>
      <w:pPr>
        <w:spacing w:line="300" w:lineRule="auto"/>
        <w:ind w:firstLine="480" w:firstLineChars="200"/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pStyle w:val="2"/>
        <w:spacing w:before="312" w:after="312"/>
      </w:pPr>
      <w:bookmarkStart w:id="82" w:name="_Toc10649"/>
      <w:bookmarkStart w:id="83" w:name="_Toc15024"/>
      <w:bookmarkStart w:id="84" w:name="_Toc31365"/>
      <w:bookmarkStart w:id="85" w:name="_Toc17591"/>
      <w:bookmarkStart w:id="86" w:name="_Toc4093"/>
      <w:bookmarkStart w:id="87" w:name="_Toc24261"/>
      <w:bookmarkStart w:id="88" w:name="_Toc16551"/>
      <w:bookmarkStart w:id="89" w:name="_Toc1365"/>
      <w:r>
        <w:rPr>
          <w:rFonts w:hint="eastAsia"/>
        </w:rPr>
        <w:t>毕业设计（论文）材料</w:t>
      </w:r>
      <w:bookmarkEnd w:id="82"/>
      <w:bookmarkEnd w:id="83"/>
      <w:bookmarkEnd w:id="84"/>
      <w:bookmarkEnd w:id="85"/>
      <w:bookmarkEnd w:id="86"/>
      <w:r>
        <w:rPr>
          <w:rFonts w:hint="eastAsia"/>
        </w:rPr>
        <w:t>质量评价要素</w:t>
      </w:r>
      <w:bookmarkEnd w:id="87"/>
      <w:bookmarkEnd w:id="88"/>
      <w:bookmarkEnd w:id="89"/>
    </w:p>
    <w:p>
      <w:pPr>
        <w:pStyle w:val="22"/>
        <w:adjustRightInd w:val="0"/>
        <w:snapToGrid w:val="0"/>
        <w:spacing w:line="360" w:lineRule="auto"/>
        <w:ind w:firstLine="482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毕业设计（论文）材料装订顺序：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1、毕业设计（论文）开题报告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2、毕业设计（论文）中期检查报告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3、毕业设计（论文）（含任务书）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4、毕业设计（论文）指导教师评分表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5、毕业设计（论文）评阅教师评分表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6、毕业设计（论文）答辩评分表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7、毕业设计（论文）成绩考核表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8、毕业设计（论文）答辩记录表（开题、中期、毕业答辩）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9、毕业设计（论文）学生工作及教师指导记录本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FF0000"/>
          <w:sz w:val="24"/>
        </w:rPr>
      </w:pPr>
      <w:r>
        <w:rPr>
          <w:rFonts w:hint="eastAsia" w:ascii="宋体" w:hAnsi="宋体" w:cs="宋体"/>
          <w:b/>
          <w:bCs/>
          <w:color w:val="0000FF"/>
          <w:sz w:val="24"/>
        </w:rPr>
        <w:t>10、毕业设计（论文）达成评价报告</w:t>
      </w:r>
      <w:r>
        <w:rPr>
          <w:rFonts w:hint="eastAsia" w:ascii="宋体" w:hAnsi="宋体" w:cs="宋体"/>
          <w:b/>
          <w:bCs/>
          <w:color w:val="FF0000"/>
          <w:sz w:val="24"/>
          <w:highlight w:val="yellow"/>
        </w:rPr>
        <w:t>（以专业为单位即可）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FF0000"/>
          <w:sz w:val="24"/>
        </w:rPr>
      </w:pPr>
      <w:r>
        <w:rPr>
          <w:rFonts w:hint="eastAsia" w:ascii="宋体" w:hAnsi="宋体" w:cs="宋体"/>
          <w:b/>
          <w:bCs/>
          <w:color w:val="0000FF"/>
          <w:sz w:val="24"/>
        </w:rPr>
        <w:t>11、课程评价审核表</w:t>
      </w:r>
      <w:r>
        <w:rPr>
          <w:rFonts w:hint="eastAsia" w:ascii="宋体" w:hAnsi="宋体" w:cs="宋体"/>
          <w:b/>
          <w:bCs/>
          <w:color w:val="FF0000"/>
          <w:sz w:val="24"/>
          <w:highlight w:val="yellow"/>
        </w:rPr>
        <w:t>（以专业为单位即可）</w:t>
      </w:r>
    </w:p>
    <w:p>
      <w:pPr>
        <w:pStyle w:val="3"/>
        <w:spacing w:before="156" w:after="156"/>
        <w:ind w:firstLine="562"/>
      </w:pPr>
      <w:bookmarkStart w:id="90" w:name="_Toc11955"/>
      <w:bookmarkStart w:id="91" w:name="_Toc9965"/>
      <w:bookmarkStart w:id="92" w:name="_Toc29726"/>
      <w:bookmarkStart w:id="93" w:name="_Toc21401"/>
      <w:bookmarkStart w:id="94" w:name="_Toc2271"/>
      <w:r>
        <w:rPr>
          <w:rFonts w:hint="eastAsia"/>
        </w:rPr>
        <w:t>一、材料规范</w:t>
      </w:r>
      <w:bookmarkEnd w:id="90"/>
      <w:bookmarkEnd w:id="91"/>
      <w:bookmarkEnd w:id="92"/>
      <w:bookmarkEnd w:id="93"/>
      <w:bookmarkEnd w:id="94"/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相关过程材料齐全，装订顺序无误。相关文档中有意见、签字、盖章、日期等的均填写完整、无误。各专业班级档案数量和内容和毕业论文（设计）目录对应。</w:t>
      </w:r>
    </w:p>
    <w:p>
      <w:pPr>
        <w:pStyle w:val="3"/>
        <w:spacing w:before="156" w:after="156"/>
        <w:ind w:firstLine="562"/>
      </w:pPr>
      <w:bookmarkStart w:id="95" w:name="_Toc32363"/>
      <w:bookmarkStart w:id="96" w:name="_Toc27616"/>
      <w:bookmarkStart w:id="97" w:name="_Toc25352"/>
      <w:bookmarkStart w:id="98" w:name="_Toc9984"/>
      <w:bookmarkStart w:id="99" w:name="_Toc31582"/>
      <w:r>
        <w:rPr>
          <w:rFonts w:hint="eastAsia"/>
        </w:rPr>
        <w:t>二、课题质量</w:t>
      </w:r>
      <w:bookmarkEnd w:id="95"/>
      <w:bookmarkEnd w:id="96"/>
      <w:bookmarkEnd w:id="97"/>
      <w:bookmarkEnd w:id="98"/>
      <w:bookmarkEnd w:id="99"/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课题政治方向正确，符合国家立德树人要求，符合社会主义核心价值观，立足于所在专业领域的理论问题或现实问题，具有一定的理论价值或实际应用价值，满足毕业设计大纲（论文）要求。体现一定的学术、科研水平，课题大小适当，难易适中</w:t>
      </w:r>
      <w:r>
        <w:rPr>
          <w:rFonts w:hint="eastAsia" w:ascii="宋体" w:hAnsi="宋体" w:cs="宋体"/>
          <w:kern w:val="0"/>
          <w:sz w:val="24"/>
          <w:szCs w:val="24"/>
        </w:rPr>
        <w:t>，三年内课题无重复。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一人一题，如有特殊要求，两名以上学生做同一题目的，每位学生所做内容必须要有不同的技术参数和侧重点，且各自的侧重内容占毕业设计(论文)内容的比例应大于60%。</w:t>
      </w:r>
    </w:p>
    <w:p>
      <w:pPr>
        <w:pStyle w:val="22"/>
        <w:adjustRightInd w:val="0"/>
        <w:snapToGrid w:val="0"/>
        <w:spacing w:line="360" w:lineRule="auto"/>
        <w:ind w:firstLine="482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课题名称更改，审批程序完整。</w:t>
      </w:r>
    </w:p>
    <w:p>
      <w:pPr>
        <w:pStyle w:val="3"/>
        <w:spacing w:before="156" w:after="156"/>
        <w:ind w:firstLine="562"/>
      </w:pPr>
      <w:bookmarkStart w:id="100" w:name="_Toc7084"/>
      <w:bookmarkStart w:id="101" w:name="_Toc3801"/>
      <w:bookmarkStart w:id="102" w:name="_Toc11546"/>
      <w:bookmarkStart w:id="103" w:name="_Toc28802"/>
      <w:bookmarkStart w:id="104" w:name="_Toc30422"/>
      <w:r>
        <w:rPr>
          <w:rFonts w:hint="eastAsia"/>
        </w:rPr>
        <w:t>三、开题报告、中期检查报告</w:t>
      </w:r>
      <w:bookmarkEnd w:id="100"/>
      <w:bookmarkEnd w:id="101"/>
      <w:bookmarkEnd w:id="102"/>
      <w:bookmarkEnd w:id="103"/>
      <w:bookmarkEnd w:id="104"/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开题报告按《上海电机学院毕业设计（论文）开题报告》、中期检查报告按《上海电机学院本科生毕业设计（论文）中期检查报告》格式规范与内容要求撰写。指导教师、答辩评议小组对报告进行评阅，评阅意见具有针对性。</w:t>
      </w:r>
    </w:p>
    <w:p>
      <w:pPr>
        <w:pStyle w:val="3"/>
        <w:spacing w:before="156" w:after="156"/>
        <w:ind w:firstLine="562"/>
      </w:pPr>
      <w:bookmarkStart w:id="105" w:name="_Toc13851"/>
      <w:bookmarkStart w:id="106" w:name="_Toc28211"/>
      <w:bookmarkStart w:id="107" w:name="_Toc2726"/>
      <w:bookmarkStart w:id="108" w:name="_Toc24418"/>
      <w:bookmarkStart w:id="109" w:name="_Toc27424"/>
      <w:r>
        <w:rPr>
          <w:rFonts w:hint="eastAsia"/>
        </w:rPr>
        <w:t>五、毕业设计（论文）</w:t>
      </w:r>
      <w:bookmarkEnd w:id="105"/>
      <w:bookmarkEnd w:id="106"/>
      <w:bookmarkEnd w:id="107"/>
      <w:bookmarkEnd w:id="108"/>
      <w:bookmarkEnd w:id="109"/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毕业设计（论文）按《本科生毕业设计（论文）格式规范》撰写。理工、经管类毕业论文字数不低于15000字，艺术类毕业论文字数不低10000字。着重对选题意义、写作安排、逻辑构建、专业能力、学术规范范等进行考察。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本科生毕业设计（论文）参考文献至少</w:t>
      </w:r>
      <w:r>
        <w:rPr>
          <w:rFonts w:ascii="宋体" w:hAnsi="宋体" w:cs="宋体"/>
          <w:color w:val="000000"/>
          <w:kern w:val="0"/>
          <w:sz w:val="24"/>
          <w:szCs w:val="24"/>
        </w:rPr>
        <w:t>18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篇以上，近三年的参考文献不少于</w:t>
      </w:r>
      <w:r>
        <w:rPr>
          <w:rFonts w:ascii="宋体" w:hAnsi="宋体" w:cs="宋体"/>
          <w:color w:val="000000"/>
          <w:kern w:val="0"/>
          <w:sz w:val="24"/>
          <w:szCs w:val="24"/>
        </w:rPr>
        <w:t>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0%，其中外文参考文献不低于</w:t>
      </w:r>
      <w:r>
        <w:rPr>
          <w:rFonts w:ascii="宋体" w:hAnsi="宋体" w:cs="宋体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篇。</w:t>
      </w:r>
    </w:p>
    <w:p>
      <w:pPr>
        <w:pStyle w:val="3"/>
        <w:spacing w:before="156" w:after="156"/>
        <w:ind w:firstLine="562"/>
      </w:pPr>
      <w:bookmarkStart w:id="110" w:name="_Toc16642"/>
      <w:bookmarkStart w:id="111" w:name="_Toc25037"/>
      <w:bookmarkStart w:id="112" w:name="_Toc22590"/>
      <w:bookmarkStart w:id="113" w:name="_Toc24813"/>
      <w:bookmarkStart w:id="114" w:name="_Toc12980"/>
      <w:r>
        <w:rPr>
          <w:rFonts w:hint="eastAsia"/>
        </w:rPr>
        <w:t>六、成绩评定</w:t>
      </w:r>
      <w:bookmarkEnd w:id="110"/>
      <w:bookmarkEnd w:id="111"/>
      <w:bookmarkEnd w:id="112"/>
      <w:bookmarkEnd w:id="113"/>
      <w:bookmarkEnd w:id="114"/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成绩考核应参照以下比例综合评定学生的毕业设计成绩：指导教师审阅成绩占30%，评阅成绩占20%，答辩成绩占50%（各项均以百分制记）。评分合理、总分计算无误。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答辩记录用钢笔或签字笔书写，不得使用圆珠笔，可使用电脑整理打印。记录应详略得当，按答辩小组成员发言顺序记录，只记问题，不记评价。答辩人回答答辩小组提出的有关问题应详细记录。答辩记录不得由学生填写。</w:t>
      </w:r>
    </w:p>
    <w:p>
      <w:pPr>
        <w:pStyle w:val="3"/>
        <w:spacing w:before="156" w:after="156"/>
        <w:ind w:firstLine="562"/>
      </w:pPr>
      <w:bookmarkStart w:id="115" w:name="_Toc19115"/>
      <w:bookmarkStart w:id="116" w:name="_Toc5603"/>
      <w:bookmarkStart w:id="117" w:name="_Toc28086"/>
      <w:bookmarkStart w:id="118" w:name="_Toc32406"/>
      <w:bookmarkStart w:id="119" w:name="_Toc15102"/>
      <w:r>
        <w:rPr>
          <w:rFonts w:hint="eastAsia"/>
        </w:rPr>
        <w:t>七、指导记录</w:t>
      </w:r>
      <w:bookmarkEnd w:id="115"/>
      <w:bookmarkEnd w:id="116"/>
      <w:bookmarkEnd w:id="117"/>
      <w:bookmarkEnd w:id="118"/>
      <w:bookmarkEnd w:id="119"/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指导教师每周至少与指导学生一次。了解学生课题进展情况、对学生毕业设计过程中的问题进行指导、答疑等。要体现指导的全过程，指导内容要针对具体问题，不得模棱两可、含糊笼统或雷同。须与学生的计划进程时间进度高度一致，无自相矛盾现象发生。</w:t>
      </w:r>
    </w:p>
    <w:p>
      <w:pPr>
        <w:pStyle w:val="22"/>
        <w:spacing w:line="300" w:lineRule="auto"/>
        <w:ind w:firstLine="0"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br w:type="page"/>
      </w:r>
    </w:p>
    <w:p>
      <w:pPr>
        <w:pStyle w:val="2"/>
        <w:spacing w:before="312" w:after="312"/>
      </w:pPr>
      <w:bookmarkStart w:id="120" w:name="_Toc18636"/>
      <w:bookmarkStart w:id="121" w:name="_Toc3993"/>
      <w:bookmarkStart w:id="122" w:name="_Toc22016"/>
      <w:bookmarkStart w:id="123" w:name="_Toc30523"/>
      <w:bookmarkStart w:id="124" w:name="_Toc13155"/>
      <w:bookmarkStart w:id="125" w:name="_Toc21135"/>
      <w:bookmarkStart w:id="126" w:name="_Toc30068"/>
      <w:bookmarkStart w:id="127" w:name="_Toc13892"/>
      <w:r>
        <w:rPr>
          <w:rFonts w:hint="eastAsia"/>
        </w:rPr>
        <w:t>教师教学工作记录册</w:t>
      </w:r>
      <w:bookmarkEnd w:id="120"/>
      <w:bookmarkEnd w:id="121"/>
      <w:bookmarkEnd w:id="122"/>
      <w:bookmarkEnd w:id="123"/>
      <w:bookmarkEnd w:id="124"/>
      <w:r>
        <w:rPr>
          <w:rFonts w:hint="eastAsia"/>
        </w:rPr>
        <w:t>质量评价要素</w:t>
      </w:r>
      <w:bookmarkEnd w:id="125"/>
      <w:bookmarkEnd w:id="126"/>
      <w:bookmarkEnd w:id="127"/>
    </w:p>
    <w:p>
      <w:pPr>
        <w:pStyle w:val="22"/>
        <w:adjustRightInd w:val="0"/>
        <w:snapToGrid w:val="0"/>
        <w:spacing w:line="360" w:lineRule="auto"/>
        <w:ind w:firstLine="482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教师教学工作记录册装订顺序：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1、教学任务书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2、授课计划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3、过程性考核材料（作业、实验、报告、在线学习、答辩等成绩登记表）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4、考勤登记表（单开的课程都需要）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5、考核成绩登记表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6、教研活动记录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cs="宋体"/>
          <w:color w:val="FF0000"/>
          <w:kern w:val="0"/>
          <w:sz w:val="24"/>
          <w:szCs w:val="24"/>
          <w:highlight w:val="yellow"/>
        </w:rPr>
        <w:t>7、课程达成评价报告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（包括理论课程、实验、课程设计等，以授课课程为单位，由任课教师填写）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cs="宋体"/>
          <w:color w:val="FF0000"/>
          <w:kern w:val="0"/>
          <w:sz w:val="24"/>
          <w:szCs w:val="24"/>
          <w:highlight w:val="yellow"/>
        </w:rPr>
        <w:t>备注：电子版归档，教师可根据实际情况修改目录</w:t>
      </w:r>
    </w:p>
    <w:p>
      <w:pPr>
        <w:pStyle w:val="3"/>
        <w:spacing w:before="156" w:after="156"/>
        <w:ind w:firstLine="562"/>
      </w:pPr>
      <w:bookmarkStart w:id="128" w:name="_Toc683"/>
      <w:bookmarkStart w:id="129" w:name="_Toc3874"/>
      <w:bookmarkStart w:id="130" w:name="_Toc32221"/>
      <w:bookmarkStart w:id="131" w:name="_Toc30179"/>
      <w:bookmarkStart w:id="132" w:name="_Toc5140"/>
      <w:r>
        <w:rPr>
          <w:rFonts w:hint="eastAsia"/>
        </w:rPr>
        <w:t>一、材料规范</w:t>
      </w:r>
      <w:bookmarkEnd w:id="128"/>
      <w:bookmarkEnd w:id="129"/>
      <w:bookmarkEnd w:id="130"/>
      <w:bookmarkEnd w:id="131"/>
      <w:bookmarkEnd w:id="132"/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材料齐全，装订顺序无误。相关材料中有意见、签字、盖章、日期等的均填写完整、无误。成绩登记表、考勤登记表整洁、无涂改。</w:t>
      </w:r>
    </w:p>
    <w:p>
      <w:pPr>
        <w:pStyle w:val="3"/>
        <w:spacing w:before="156" w:after="156"/>
        <w:ind w:firstLine="562"/>
      </w:pPr>
      <w:bookmarkStart w:id="133" w:name="_Toc24988"/>
      <w:bookmarkStart w:id="134" w:name="_Toc23925"/>
      <w:bookmarkStart w:id="135" w:name="_Toc13590"/>
      <w:bookmarkStart w:id="136" w:name="_Toc10827"/>
      <w:r>
        <w:rPr>
          <w:rFonts w:hint="eastAsia"/>
        </w:rPr>
        <w:t>二、授课计划</w:t>
      </w:r>
      <w:bookmarkEnd w:id="133"/>
      <w:bookmarkEnd w:id="134"/>
      <w:bookmarkEnd w:id="135"/>
      <w:bookmarkEnd w:id="136"/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授课计划与教学大纲授课内容一致，课程总学时数、周学时数、理论与实验学时数一致，考核方式及评价标准一致等。</w:t>
      </w:r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每个教学班一份，签字、日期等的均填写完整、无误。</w:t>
      </w:r>
    </w:p>
    <w:p>
      <w:pPr>
        <w:pStyle w:val="3"/>
        <w:spacing w:before="156" w:after="156"/>
        <w:ind w:firstLine="562"/>
      </w:pPr>
      <w:bookmarkStart w:id="137" w:name="_Toc18272"/>
      <w:bookmarkStart w:id="138" w:name="_Toc21896"/>
      <w:bookmarkStart w:id="139" w:name="_Toc29095"/>
      <w:bookmarkStart w:id="140" w:name="_Toc5764"/>
      <w:bookmarkStart w:id="141" w:name="_Toc13226"/>
      <w:r>
        <w:rPr>
          <w:rFonts w:hint="eastAsia"/>
        </w:rPr>
        <w:t>三、课程达成评价报告</w:t>
      </w:r>
      <w:bookmarkEnd w:id="137"/>
      <w:bookmarkEnd w:id="138"/>
      <w:bookmarkEnd w:id="139"/>
      <w:bookmarkEnd w:id="140"/>
      <w:bookmarkEnd w:id="141"/>
    </w:p>
    <w:p>
      <w:pPr>
        <w:pStyle w:val="22"/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以授课课程为单位，全面总结课程教学效果，相关信息填写完整、无误，前后数据一致。重点针对课程目标达成度情况（近两年）进行分析和总结，通过分析发现教学过程中存在的不足，不笼统的只给出学生学习不努力、学风有待改善等原因，应该点面结合提出针对性地改善教学及提高质量的改进措施。改进措施应从教学理念、教学方法、教学手段等多方面入手，具有可操作性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4</w:t>
    </w:r>
    <w:r>
      <w:rPr>
        <w:rStyle w:val="14"/>
      </w:rPr>
      <w:fldChar w:fldCharType="end"/>
    </w:r>
  </w:p>
  <w:p>
    <w:pPr>
      <w:pStyle w:val="6"/>
      <w:ind w:right="360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6"/>
      <w:ind w:right="360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mODVkZTAzNWNhMzY1MTJmMTRlYjExYTYyMjIxZGIifQ=="/>
  </w:docVars>
  <w:rsids>
    <w:rsidRoot w:val="00B96CC8"/>
    <w:rsid w:val="00011773"/>
    <w:rsid w:val="00031F56"/>
    <w:rsid w:val="00036E12"/>
    <w:rsid w:val="00047A69"/>
    <w:rsid w:val="000566CA"/>
    <w:rsid w:val="000867C1"/>
    <w:rsid w:val="000A300C"/>
    <w:rsid w:val="000C21C0"/>
    <w:rsid w:val="000C3E3D"/>
    <w:rsid w:val="000D3B98"/>
    <w:rsid w:val="000E597F"/>
    <w:rsid w:val="00121121"/>
    <w:rsid w:val="00122094"/>
    <w:rsid w:val="001576C7"/>
    <w:rsid w:val="00157E44"/>
    <w:rsid w:val="00184248"/>
    <w:rsid w:val="00196263"/>
    <w:rsid w:val="001B19D0"/>
    <w:rsid w:val="001B210E"/>
    <w:rsid w:val="001D080D"/>
    <w:rsid w:val="001D3E4B"/>
    <w:rsid w:val="001E200C"/>
    <w:rsid w:val="001F6934"/>
    <w:rsid w:val="00221C14"/>
    <w:rsid w:val="00227A62"/>
    <w:rsid w:val="00236A58"/>
    <w:rsid w:val="00237E4E"/>
    <w:rsid w:val="002663FB"/>
    <w:rsid w:val="0028070D"/>
    <w:rsid w:val="002D0AAF"/>
    <w:rsid w:val="002D2BF5"/>
    <w:rsid w:val="002D3E14"/>
    <w:rsid w:val="00316E09"/>
    <w:rsid w:val="003173EF"/>
    <w:rsid w:val="00350EA4"/>
    <w:rsid w:val="00356C1E"/>
    <w:rsid w:val="00361F48"/>
    <w:rsid w:val="00394DC8"/>
    <w:rsid w:val="003A23B7"/>
    <w:rsid w:val="003B5CC3"/>
    <w:rsid w:val="003C055B"/>
    <w:rsid w:val="003C1293"/>
    <w:rsid w:val="003C4CA0"/>
    <w:rsid w:val="003F1DD2"/>
    <w:rsid w:val="00411722"/>
    <w:rsid w:val="00412AC3"/>
    <w:rsid w:val="004261A4"/>
    <w:rsid w:val="0042732A"/>
    <w:rsid w:val="00436293"/>
    <w:rsid w:val="004605F0"/>
    <w:rsid w:val="004612D0"/>
    <w:rsid w:val="004723EC"/>
    <w:rsid w:val="004766C1"/>
    <w:rsid w:val="00490EC0"/>
    <w:rsid w:val="004A4BDE"/>
    <w:rsid w:val="004B4AD8"/>
    <w:rsid w:val="004B6518"/>
    <w:rsid w:val="004C3A5E"/>
    <w:rsid w:val="004F4CD4"/>
    <w:rsid w:val="004F528A"/>
    <w:rsid w:val="00504491"/>
    <w:rsid w:val="00507D77"/>
    <w:rsid w:val="0051546C"/>
    <w:rsid w:val="00515DE2"/>
    <w:rsid w:val="00535DAB"/>
    <w:rsid w:val="00537339"/>
    <w:rsid w:val="00546507"/>
    <w:rsid w:val="00567FB0"/>
    <w:rsid w:val="00587412"/>
    <w:rsid w:val="00593210"/>
    <w:rsid w:val="005A642B"/>
    <w:rsid w:val="005B7355"/>
    <w:rsid w:val="005D5BBB"/>
    <w:rsid w:val="005E2E88"/>
    <w:rsid w:val="00601C98"/>
    <w:rsid w:val="00653466"/>
    <w:rsid w:val="00680FBE"/>
    <w:rsid w:val="00681809"/>
    <w:rsid w:val="00696C89"/>
    <w:rsid w:val="006B0416"/>
    <w:rsid w:val="006B43A8"/>
    <w:rsid w:val="006C3C7D"/>
    <w:rsid w:val="006C47F2"/>
    <w:rsid w:val="006D525D"/>
    <w:rsid w:val="006D5734"/>
    <w:rsid w:val="00726139"/>
    <w:rsid w:val="00752ED1"/>
    <w:rsid w:val="007629A0"/>
    <w:rsid w:val="00784A42"/>
    <w:rsid w:val="007A0BFD"/>
    <w:rsid w:val="007A1B36"/>
    <w:rsid w:val="007A20D0"/>
    <w:rsid w:val="007A74F5"/>
    <w:rsid w:val="007C5990"/>
    <w:rsid w:val="007C5CFF"/>
    <w:rsid w:val="007D112E"/>
    <w:rsid w:val="007E3F5A"/>
    <w:rsid w:val="00807E8C"/>
    <w:rsid w:val="00816A42"/>
    <w:rsid w:val="00830557"/>
    <w:rsid w:val="00837877"/>
    <w:rsid w:val="008456EF"/>
    <w:rsid w:val="00854F00"/>
    <w:rsid w:val="0086051C"/>
    <w:rsid w:val="00863870"/>
    <w:rsid w:val="00875097"/>
    <w:rsid w:val="00885C24"/>
    <w:rsid w:val="00892A78"/>
    <w:rsid w:val="008D3A56"/>
    <w:rsid w:val="008D4E18"/>
    <w:rsid w:val="008D4F5C"/>
    <w:rsid w:val="008E1FB5"/>
    <w:rsid w:val="00903ABF"/>
    <w:rsid w:val="009058B0"/>
    <w:rsid w:val="00931003"/>
    <w:rsid w:val="009340AA"/>
    <w:rsid w:val="00934BBC"/>
    <w:rsid w:val="0094149C"/>
    <w:rsid w:val="00981269"/>
    <w:rsid w:val="009912F5"/>
    <w:rsid w:val="009B279C"/>
    <w:rsid w:val="009C74E3"/>
    <w:rsid w:val="009C7831"/>
    <w:rsid w:val="009D20CE"/>
    <w:rsid w:val="009D20E2"/>
    <w:rsid w:val="00A15B04"/>
    <w:rsid w:val="00A25BAF"/>
    <w:rsid w:val="00A37880"/>
    <w:rsid w:val="00A40BF4"/>
    <w:rsid w:val="00A43EF5"/>
    <w:rsid w:val="00A50B59"/>
    <w:rsid w:val="00A555B6"/>
    <w:rsid w:val="00A73C4A"/>
    <w:rsid w:val="00A84ABC"/>
    <w:rsid w:val="00A86361"/>
    <w:rsid w:val="00AA4F8E"/>
    <w:rsid w:val="00AA7BEB"/>
    <w:rsid w:val="00AC7F60"/>
    <w:rsid w:val="00AD2256"/>
    <w:rsid w:val="00AD466D"/>
    <w:rsid w:val="00AE46C3"/>
    <w:rsid w:val="00B062AB"/>
    <w:rsid w:val="00B1390B"/>
    <w:rsid w:val="00B14FA6"/>
    <w:rsid w:val="00B21B8C"/>
    <w:rsid w:val="00B32268"/>
    <w:rsid w:val="00B569F4"/>
    <w:rsid w:val="00B56D56"/>
    <w:rsid w:val="00B608B1"/>
    <w:rsid w:val="00B82A8D"/>
    <w:rsid w:val="00B96CC8"/>
    <w:rsid w:val="00B97559"/>
    <w:rsid w:val="00BA104B"/>
    <w:rsid w:val="00BA126B"/>
    <w:rsid w:val="00BA7699"/>
    <w:rsid w:val="00BC484E"/>
    <w:rsid w:val="00BC5295"/>
    <w:rsid w:val="00BC7357"/>
    <w:rsid w:val="00BD53ED"/>
    <w:rsid w:val="00BD7FCB"/>
    <w:rsid w:val="00BE71B3"/>
    <w:rsid w:val="00BE7FBF"/>
    <w:rsid w:val="00BF0FC7"/>
    <w:rsid w:val="00BF33B7"/>
    <w:rsid w:val="00C01533"/>
    <w:rsid w:val="00C02527"/>
    <w:rsid w:val="00C4244F"/>
    <w:rsid w:val="00C430E5"/>
    <w:rsid w:val="00C66A79"/>
    <w:rsid w:val="00C81C55"/>
    <w:rsid w:val="00C84D50"/>
    <w:rsid w:val="00C91866"/>
    <w:rsid w:val="00C930BD"/>
    <w:rsid w:val="00C96CD2"/>
    <w:rsid w:val="00CA36C5"/>
    <w:rsid w:val="00CC39B9"/>
    <w:rsid w:val="00CE249B"/>
    <w:rsid w:val="00CE5420"/>
    <w:rsid w:val="00D07C97"/>
    <w:rsid w:val="00D1421B"/>
    <w:rsid w:val="00D42C2D"/>
    <w:rsid w:val="00D44039"/>
    <w:rsid w:val="00D87577"/>
    <w:rsid w:val="00D95399"/>
    <w:rsid w:val="00DA3C0B"/>
    <w:rsid w:val="00DA69B7"/>
    <w:rsid w:val="00DD789C"/>
    <w:rsid w:val="00DE5C96"/>
    <w:rsid w:val="00E01480"/>
    <w:rsid w:val="00E103F3"/>
    <w:rsid w:val="00E33F1C"/>
    <w:rsid w:val="00E50B85"/>
    <w:rsid w:val="00E62CC0"/>
    <w:rsid w:val="00E64648"/>
    <w:rsid w:val="00E646F8"/>
    <w:rsid w:val="00E90AD1"/>
    <w:rsid w:val="00EC6F91"/>
    <w:rsid w:val="00ED1490"/>
    <w:rsid w:val="00ED6AC8"/>
    <w:rsid w:val="00F141A8"/>
    <w:rsid w:val="00F230A7"/>
    <w:rsid w:val="00F26E13"/>
    <w:rsid w:val="00F30171"/>
    <w:rsid w:val="00F3697D"/>
    <w:rsid w:val="00F406E5"/>
    <w:rsid w:val="00F4119E"/>
    <w:rsid w:val="00F44CCC"/>
    <w:rsid w:val="00F51FFA"/>
    <w:rsid w:val="00F56774"/>
    <w:rsid w:val="00F70B54"/>
    <w:rsid w:val="00F77387"/>
    <w:rsid w:val="00F91A9D"/>
    <w:rsid w:val="00FB5AA5"/>
    <w:rsid w:val="00FB68BB"/>
    <w:rsid w:val="00FF3279"/>
    <w:rsid w:val="00FF32A9"/>
    <w:rsid w:val="01260E98"/>
    <w:rsid w:val="019A78C4"/>
    <w:rsid w:val="01C26953"/>
    <w:rsid w:val="01D32DCE"/>
    <w:rsid w:val="01F20D71"/>
    <w:rsid w:val="02225B04"/>
    <w:rsid w:val="022831A0"/>
    <w:rsid w:val="02CD4E6D"/>
    <w:rsid w:val="040D7AD6"/>
    <w:rsid w:val="05746676"/>
    <w:rsid w:val="05CC64B2"/>
    <w:rsid w:val="0622270A"/>
    <w:rsid w:val="06596A16"/>
    <w:rsid w:val="0687687D"/>
    <w:rsid w:val="069A3D75"/>
    <w:rsid w:val="06BC02D5"/>
    <w:rsid w:val="06D0007B"/>
    <w:rsid w:val="073D15CC"/>
    <w:rsid w:val="07783EDF"/>
    <w:rsid w:val="07917AF4"/>
    <w:rsid w:val="07A11196"/>
    <w:rsid w:val="080A1757"/>
    <w:rsid w:val="081C7981"/>
    <w:rsid w:val="08B1753D"/>
    <w:rsid w:val="09232592"/>
    <w:rsid w:val="0A086F7F"/>
    <w:rsid w:val="0A1A1394"/>
    <w:rsid w:val="0A696248"/>
    <w:rsid w:val="0B5223A9"/>
    <w:rsid w:val="0BFF2A12"/>
    <w:rsid w:val="0C6A432F"/>
    <w:rsid w:val="0C6C62F9"/>
    <w:rsid w:val="0C701C23"/>
    <w:rsid w:val="0CB457C9"/>
    <w:rsid w:val="0CCE1629"/>
    <w:rsid w:val="0CF52D1F"/>
    <w:rsid w:val="0D0271E7"/>
    <w:rsid w:val="0D292DC9"/>
    <w:rsid w:val="0D8368AF"/>
    <w:rsid w:val="0D936571"/>
    <w:rsid w:val="0DFF319D"/>
    <w:rsid w:val="0EA87391"/>
    <w:rsid w:val="0EBA4230"/>
    <w:rsid w:val="0F470958"/>
    <w:rsid w:val="0F6F7F34"/>
    <w:rsid w:val="0FD07CC5"/>
    <w:rsid w:val="11333889"/>
    <w:rsid w:val="123C051C"/>
    <w:rsid w:val="129640D0"/>
    <w:rsid w:val="12B5077B"/>
    <w:rsid w:val="132900D9"/>
    <w:rsid w:val="13FA41EA"/>
    <w:rsid w:val="14506500"/>
    <w:rsid w:val="14543108"/>
    <w:rsid w:val="1557566D"/>
    <w:rsid w:val="15D62A35"/>
    <w:rsid w:val="172B2E71"/>
    <w:rsid w:val="17831FED"/>
    <w:rsid w:val="17D52F6D"/>
    <w:rsid w:val="17DD6F6D"/>
    <w:rsid w:val="18C9152F"/>
    <w:rsid w:val="19031D93"/>
    <w:rsid w:val="194128BC"/>
    <w:rsid w:val="1B077874"/>
    <w:rsid w:val="1BE83469"/>
    <w:rsid w:val="1C120815"/>
    <w:rsid w:val="1CA6138B"/>
    <w:rsid w:val="1CE15444"/>
    <w:rsid w:val="1D891D8C"/>
    <w:rsid w:val="1EBE0586"/>
    <w:rsid w:val="200B777F"/>
    <w:rsid w:val="209E05F3"/>
    <w:rsid w:val="20DE6C42"/>
    <w:rsid w:val="210001C1"/>
    <w:rsid w:val="21052421"/>
    <w:rsid w:val="211D3C0E"/>
    <w:rsid w:val="21380A48"/>
    <w:rsid w:val="213D52BE"/>
    <w:rsid w:val="22142494"/>
    <w:rsid w:val="222B00A1"/>
    <w:rsid w:val="226B7870"/>
    <w:rsid w:val="23016DB6"/>
    <w:rsid w:val="23FD1788"/>
    <w:rsid w:val="24715D06"/>
    <w:rsid w:val="25280744"/>
    <w:rsid w:val="25563BCC"/>
    <w:rsid w:val="25BF34E6"/>
    <w:rsid w:val="25D521C4"/>
    <w:rsid w:val="25F75AA9"/>
    <w:rsid w:val="265359DC"/>
    <w:rsid w:val="265830C4"/>
    <w:rsid w:val="26D7485F"/>
    <w:rsid w:val="280B65DC"/>
    <w:rsid w:val="282E04AF"/>
    <w:rsid w:val="28761753"/>
    <w:rsid w:val="28AE127B"/>
    <w:rsid w:val="28E60D8A"/>
    <w:rsid w:val="2AF14141"/>
    <w:rsid w:val="2B39752B"/>
    <w:rsid w:val="2B6B4498"/>
    <w:rsid w:val="2CCE2260"/>
    <w:rsid w:val="2D1057CD"/>
    <w:rsid w:val="2D597D7C"/>
    <w:rsid w:val="2D60735C"/>
    <w:rsid w:val="2D8661AA"/>
    <w:rsid w:val="2DD40248"/>
    <w:rsid w:val="2E6A29EF"/>
    <w:rsid w:val="2EE95130"/>
    <w:rsid w:val="2FC632C2"/>
    <w:rsid w:val="2FDB3950"/>
    <w:rsid w:val="303E1E05"/>
    <w:rsid w:val="30D2231F"/>
    <w:rsid w:val="30DF67EA"/>
    <w:rsid w:val="30E77668"/>
    <w:rsid w:val="318138C8"/>
    <w:rsid w:val="31865314"/>
    <w:rsid w:val="31C559E0"/>
    <w:rsid w:val="3250694A"/>
    <w:rsid w:val="32D00AE0"/>
    <w:rsid w:val="32DD7F50"/>
    <w:rsid w:val="32E36F4F"/>
    <w:rsid w:val="32E479A6"/>
    <w:rsid w:val="331C1F78"/>
    <w:rsid w:val="33424F22"/>
    <w:rsid w:val="337F42B4"/>
    <w:rsid w:val="369F358F"/>
    <w:rsid w:val="36F30FAF"/>
    <w:rsid w:val="37273208"/>
    <w:rsid w:val="386A108F"/>
    <w:rsid w:val="38805BA2"/>
    <w:rsid w:val="389838A4"/>
    <w:rsid w:val="38F911DD"/>
    <w:rsid w:val="39331DC9"/>
    <w:rsid w:val="3AD8661C"/>
    <w:rsid w:val="3B346CDE"/>
    <w:rsid w:val="3BBF0C37"/>
    <w:rsid w:val="3BEE647B"/>
    <w:rsid w:val="3C17152E"/>
    <w:rsid w:val="3CA837C7"/>
    <w:rsid w:val="3CB66F99"/>
    <w:rsid w:val="3CF47AC1"/>
    <w:rsid w:val="3E173A67"/>
    <w:rsid w:val="3E531209"/>
    <w:rsid w:val="3E592FDE"/>
    <w:rsid w:val="3EF718B5"/>
    <w:rsid w:val="3F5D7954"/>
    <w:rsid w:val="3F927552"/>
    <w:rsid w:val="402B16BF"/>
    <w:rsid w:val="404C539D"/>
    <w:rsid w:val="40816EA7"/>
    <w:rsid w:val="408847A8"/>
    <w:rsid w:val="409E016F"/>
    <w:rsid w:val="40FC7875"/>
    <w:rsid w:val="41AC599C"/>
    <w:rsid w:val="41C37DD5"/>
    <w:rsid w:val="4214206C"/>
    <w:rsid w:val="436E5EB8"/>
    <w:rsid w:val="44517888"/>
    <w:rsid w:val="448C6831"/>
    <w:rsid w:val="44FD328B"/>
    <w:rsid w:val="4557299B"/>
    <w:rsid w:val="456D4F53"/>
    <w:rsid w:val="468B15BF"/>
    <w:rsid w:val="46C606E7"/>
    <w:rsid w:val="46ED1809"/>
    <w:rsid w:val="477D3B0A"/>
    <w:rsid w:val="47A83982"/>
    <w:rsid w:val="493F3410"/>
    <w:rsid w:val="4A001F1D"/>
    <w:rsid w:val="4B661B8A"/>
    <w:rsid w:val="4B9C55AC"/>
    <w:rsid w:val="4D0819F5"/>
    <w:rsid w:val="4D950EAB"/>
    <w:rsid w:val="4DC40DEA"/>
    <w:rsid w:val="4E687120"/>
    <w:rsid w:val="4EF348BC"/>
    <w:rsid w:val="4F4552C7"/>
    <w:rsid w:val="4FB37368"/>
    <w:rsid w:val="4FB42A51"/>
    <w:rsid w:val="4FBA6948"/>
    <w:rsid w:val="511D466D"/>
    <w:rsid w:val="51497F84"/>
    <w:rsid w:val="51A0391C"/>
    <w:rsid w:val="520E1618"/>
    <w:rsid w:val="523B4A36"/>
    <w:rsid w:val="527E15A2"/>
    <w:rsid w:val="52B40450"/>
    <w:rsid w:val="530F48B5"/>
    <w:rsid w:val="53184E30"/>
    <w:rsid w:val="54464BBC"/>
    <w:rsid w:val="5501720B"/>
    <w:rsid w:val="565F3DA6"/>
    <w:rsid w:val="567703BD"/>
    <w:rsid w:val="56CE4EC1"/>
    <w:rsid w:val="57792C45"/>
    <w:rsid w:val="57945064"/>
    <w:rsid w:val="579F1AF0"/>
    <w:rsid w:val="58380FF8"/>
    <w:rsid w:val="58A5284F"/>
    <w:rsid w:val="58CC2439"/>
    <w:rsid w:val="58D6403B"/>
    <w:rsid w:val="592E180D"/>
    <w:rsid w:val="593C3F2A"/>
    <w:rsid w:val="597E2795"/>
    <w:rsid w:val="59873741"/>
    <w:rsid w:val="59960720"/>
    <w:rsid w:val="59A044B9"/>
    <w:rsid w:val="5A0B678B"/>
    <w:rsid w:val="5A1433B2"/>
    <w:rsid w:val="5A715E56"/>
    <w:rsid w:val="5A941256"/>
    <w:rsid w:val="5AA1673B"/>
    <w:rsid w:val="5B215ACE"/>
    <w:rsid w:val="5B7E082A"/>
    <w:rsid w:val="5BAE55AC"/>
    <w:rsid w:val="5C355D8F"/>
    <w:rsid w:val="5C7F1D33"/>
    <w:rsid w:val="5D5A52C7"/>
    <w:rsid w:val="5D9A56C3"/>
    <w:rsid w:val="5D9A6865"/>
    <w:rsid w:val="5DE0757A"/>
    <w:rsid w:val="5DF23751"/>
    <w:rsid w:val="5E87020C"/>
    <w:rsid w:val="5F311690"/>
    <w:rsid w:val="5F3D4EF9"/>
    <w:rsid w:val="5FE00D6D"/>
    <w:rsid w:val="61214589"/>
    <w:rsid w:val="6136775B"/>
    <w:rsid w:val="61672B62"/>
    <w:rsid w:val="619073AA"/>
    <w:rsid w:val="622802E8"/>
    <w:rsid w:val="623A1223"/>
    <w:rsid w:val="62AE40EB"/>
    <w:rsid w:val="63B020AD"/>
    <w:rsid w:val="646D768E"/>
    <w:rsid w:val="649966D5"/>
    <w:rsid w:val="64AC28AC"/>
    <w:rsid w:val="658E3D60"/>
    <w:rsid w:val="66AE5B30"/>
    <w:rsid w:val="68262975"/>
    <w:rsid w:val="682B7F8C"/>
    <w:rsid w:val="6858777C"/>
    <w:rsid w:val="68B0174A"/>
    <w:rsid w:val="68B936CD"/>
    <w:rsid w:val="695D7C6C"/>
    <w:rsid w:val="696848C8"/>
    <w:rsid w:val="696B783B"/>
    <w:rsid w:val="69B95123"/>
    <w:rsid w:val="69CB37D4"/>
    <w:rsid w:val="69DB153D"/>
    <w:rsid w:val="69ED5C66"/>
    <w:rsid w:val="6AC9179B"/>
    <w:rsid w:val="6B891175"/>
    <w:rsid w:val="6BBB7B31"/>
    <w:rsid w:val="6C705F6D"/>
    <w:rsid w:val="6D03108D"/>
    <w:rsid w:val="6DC052EA"/>
    <w:rsid w:val="6E6051DE"/>
    <w:rsid w:val="6EBB05F6"/>
    <w:rsid w:val="6F084B83"/>
    <w:rsid w:val="6FB43D76"/>
    <w:rsid w:val="6FB75A30"/>
    <w:rsid w:val="6FCC2C51"/>
    <w:rsid w:val="6FF518E3"/>
    <w:rsid w:val="701F03D6"/>
    <w:rsid w:val="70B00AAA"/>
    <w:rsid w:val="712612F0"/>
    <w:rsid w:val="717A3EDA"/>
    <w:rsid w:val="71D260B4"/>
    <w:rsid w:val="72641BC3"/>
    <w:rsid w:val="731E3BC5"/>
    <w:rsid w:val="734E2D80"/>
    <w:rsid w:val="73734279"/>
    <w:rsid w:val="73927CFE"/>
    <w:rsid w:val="74387CB8"/>
    <w:rsid w:val="75CB2C49"/>
    <w:rsid w:val="75DC1BC4"/>
    <w:rsid w:val="7711659E"/>
    <w:rsid w:val="77D57335"/>
    <w:rsid w:val="78317146"/>
    <w:rsid w:val="785508D9"/>
    <w:rsid w:val="78904661"/>
    <w:rsid w:val="79155DD0"/>
    <w:rsid w:val="79420A9C"/>
    <w:rsid w:val="79690914"/>
    <w:rsid w:val="79842FF9"/>
    <w:rsid w:val="798B7D1F"/>
    <w:rsid w:val="79C8563A"/>
    <w:rsid w:val="79D060FF"/>
    <w:rsid w:val="7AC111A6"/>
    <w:rsid w:val="7B6849D7"/>
    <w:rsid w:val="7C127041"/>
    <w:rsid w:val="7C4371FA"/>
    <w:rsid w:val="7CBF5AC5"/>
    <w:rsid w:val="7D0746CC"/>
    <w:rsid w:val="7D1868D9"/>
    <w:rsid w:val="7D401CB4"/>
    <w:rsid w:val="7DD445E0"/>
    <w:rsid w:val="7DDE2FF4"/>
    <w:rsid w:val="7F1F1200"/>
    <w:rsid w:val="7F5F35A2"/>
    <w:rsid w:val="7FEB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napToGrid w:val="0"/>
      <w:spacing w:before="100" w:beforeLines="100" w:after="100" w:afterLines="100"/>
      <w:jc w:val="center"/>
      <w:outlineLvl w:val="0"/>
    </w:pPr>
    <w:rPr>
      <w:rFonts w:ascii="宋体" w:hAnsi="宋体" w:cs="宋体"/>
      <w:b/>
      <w:kern w:val="36"/>
      <w:sz w:val="32"/>
      <w:szCs w:val="1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adjustRightInd w:val="0"/>
      <w:snapToGrid w:val="0"/>
      <w:spacing w:before="50" w:beforeLines="50" w:after="50" w:afterLines="50"/>
      <w:ind w:firstLine="602" w:firstLineChars="200"/>
      <w:outlineLvl w:val="1"/>
    </w:pPr>
    <w:rPr>
      <w:rFonts w:ascii="黑体" w:hAnsi="黑体"/>
      <w:b/>
      <w:sz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1 字符"/>
    <w:link w:val="2"/>
    <w:qFormat/>
    <w:uiPriority w:val="9"/>
    <w:rPr>
      <w:rFonts w:ascii="宋体" w:hAnsi="宋体" w:eastAsia="宋体" w:cs="宋体"/>
      <w:b/>
      <w:kern w:val="36"/>
      <w:sz w:val="32"/>
      <w:szCs w:val="18"/>
    </w:rPr>
  </w:style>
  <w:style w:type="character" w:customStyle="1" w:styleId="17">
    <w:name w:val="日期 字符"/>
    <w:link w:val="4"/>
    <w:semiHidden/>
    <w:qFormat/>
    <w:uiPriority w:val="99"/>
    <w:rPr>
      <w:kern w:val="2"/>
      <w:sz w:val="21"/>
      <w:szCs w:val="22"/>
    </w:rPr>
  </w:style>
  <w:style w:type="character" w:customStyle="1" w:styleId="18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19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20">
    <w:name w:val="批注框文本 字符"/>
    <w:basedOn w:val="13"/>
    <w:link w:val="5"/>
    <w:semiHidden/>
    <w:qFormat/>
    <w:uiPriority w:val="99"/>
    <w:rPr>
      <w:kern w:val="2"/>
      <w:sz w:val="18"/>
      <w:szCs w:val="18"/>
    </w:rPr>
  </w:style>
  <w:style w:type="paragraph" w:customStyle="1" w:styleId="21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11</Pages>
  <Words>886</Words>
  <Characters>5056</Characters>
  <Lines>42</Lines>
  <Paragraphs>11</Paragraphs>
  <TotalTime>23</TotalTime>
  <ScaleCrop>false</ScaleCrop>
  <LinksUpToDate>false</LinksUpToDate>
  <CharactersWithSpaces>5931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2023-11-28T01:29:00Z</dcterms:created>
  <dc:creator>Lenovo User</dc:creator>
  <cp:lastModifiedBy>芋头</cp:lastModifiedBy>
  <cp:lastPrinted>2023-09-11T07:29:00Z</cp:lastPrinted>
  <dcterms:modified xsi:type="dcterms:W3CDTF">2024-01-12T06:19:22Z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B2663A0E41B34F3DB1D066373C040E4E_13</vt:lpwstr>
  </property>
</Properties>
</file>